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E43" w:rsidRPr="0009531E" w:rsidRDefault="007D5E43" w:rsidP="007D5E43">
      <w:pPr>
        <w:jc w:val="right"/>
        <w:rPr>
          <w:rFonts w:asciiTheme="majorHAnsi" w:hAnsiTheme="majorHAnsi" w:cstheme="majorHAnsi"/>
          <w:color w:val="FF0000"/>
          <w:szCs w:val="20"/>
          <w:lang w:val="en-IE"/>
        </w:rPr>
      </w:pPr>
      <w:r w:rsidRPr="0009531E">
        <w:rPr>
          <w:rFonts w:asciiTheme="majorHAnsi" w:hAnsiTheme="majorHAnsi" w:cstheme="majorHAnsi"/>
          <w:b/>
          <w:bCs/>
          <w:color w:val="FF0000"/>
          <w:szCs w:val="20"/>
          <w:lang w:val="en-IE"/>
        </w:rPr>
        <w:t>[Your Name]</w:t>
      </w:r>
      <w:r w:rsidRPr="0009531E">
        <w:rPr>
          <w:rFonts w:asciiTheme="majorHAnsi" w:hAnsiTheme="majorHAnsi" w:cstheme="majorHAnsi"/>
          <w:color w:val="FF0000"/>
          <w:szCs w:val="20"/>
          <w:lang w:val="en-IE"/>
        </w:rPr>
        <w:br/>
        <w:t>[Your Address]</w:t>
      </w:r>
      <w:r w:rsidRPr="0009531E">
        <w:rPr>
          <w:rFonts w:asciiTheme="majorHAnsi" w:hAnsiTheme="majorHAnsi" w:cstheme="majorHAnsi"/>
          <w:color w:val="FF0000"/>
          <w:szCs w:val="20"/>
          <w:lang w:val="en-IE"/>
        </w:rPr>
        <w:br/>
        <w:t>[Your Email]</w:t>
      </w:r>
      <w:r w:rsidRPr="0009531E">
        <w:rPr>
          <w:rFonts w:asciiTheme="majorHAnsi" w:hAnsiTheme="majorHAnsi" w:cstheme="majorHAnsi"/>
          <w:color w:val="FF0000"/>
          <w:szCs w:val="20"/>
          <w:lang w:val="en-IE"/>
        </w:rPr>
        <w:br/>
        <w:t>[Date]</w:t>
      </w:r>
    </w:p>
    <w:p w:rsidR="007D5E43" w:rsidRPr="0009531E" w:rsidRDefault="007D5E43" w:rsidP="007D5E43">
      <w:pPr>
        <w:rPr>
          <w:rFonts w:asciiTheme="majorHAnsi" w:hAnsiTheme="majorHAnsi" w:cstheme="majorHAnsi"/>
          <w:szCs w:val="20"/>
          <w:lang w:val="en-IE"/>
        </w:rPr>
      </w:pPr>
      <w:r w:rsidRPr="0009531E">
        <w:rPr>
          <w:rFonts w:asciiTheme="majorHAnsi" w:hAnsiTheme="majorHAnsi" w:cstheme="majorHAnsi"/>
          <w:b/>
          <w:bCs/>
          <w:color w:val="FF0000"/>
          <w:szCs w:val="20"/>
          <w:lang w:val="en-IE"/>
        </w:rPr>
        <w:t>[Deputy/Senator Name]</w:t>
      </w:r>
      <w:r w:rsidRPr="0009531E">
        <w:rPr>
          <w:rFonts w:asciiTheme="majorHAnsi" w:hAnsiTheme="majorHAnsi" w:cstheme="majorHAnsi"/>
          <w:szCs w:val="20"/>
          <w:lang w:val="en-IE"/>
        </w:rPr>
        <w:br/>
      </w:r>
      <w:proofErr w:type="spellStart"/>
      <w:r w:rsidRPr="0009531E">
        <w:rPr>
          <w:rFonts w:asciiTheme="majorHAnsi" w:hAnsiTheme="majorHAnsi" w:cstheme="majorHAnsi"/>
          <w:szCs w:val="20"/>
          <w:lang w:val="en-IE"/>
        </w:rPr>
        <w:t>Dáil</w:t>
      </w:r>
      <w:proofErr w:type="spellEnd"/>
      <w:r w:rsidRPr="0009531E">
        <w:rPr>
          <w:rFonts w:asciiTheme="majorHAnsi" w:hAnsiTheme="majorHAnsi" w:cstheme="majorHAnsi"/>
          <w:szCs w:val="20"/>
          <w:lang w:val="en-IE"/>
        </w:rPr>
        <w:t xml:space="preserve"> </w:t>
      </w:r>
      <w:proofErr w:type="spellStart"/>
      <w:r w:rsidRPr="0009531E">
        <w:rPr>
          <w:rFonts w:asciiTheme="majorHAnsi" w:hAnsiTheme="majorHAnsi" w:cstheme="majorHAnsi"/>
          <w:szCs w:val="20"/>
          <w:lang w:val="en-IE"/>
        </w:rPr>
        <w:t>Éireann</w:t>
      </w:r>
      <w:proofErr w:type="spellEnd"/>
      <w:r w:rsidRPr="0009531E">
        <w:rPr>
          <w:rFonts w:asciiTheme="majorHAnsi" w:hAnsiTheme="majorHAnsi" w:cstheme="majorHAnsi"/>
          <w:szCs w:val="20"/>
          <w:lang w:val="en-IE"/>
        </w:rPr>
        <w:t xml:space="preserve"> / Seanad </w:t>
      </w:r>
      <w:proofErr w:type="spellStart"/>
      <w:r w:rsidRPr="0009531E">
        <w:rPr>
          <w:rFonts w:asciiTheme="majorHAnsi" w:hAnsiTheme="majorHAnsi" w:cstheme="majorHAnsi"/>
          <w:szCs w:val="20"/>
          <w:lang w:val="en-IE"/>
        </w:rPr>
        <w:t>Éireann</w:t>
      </w:r>
      <w:bookmarkStart w:id="0" w:name="_GoBack"/>
      <w:bookmarkEnd w:id="0"/>
      <w:proofErr w:type="spellEnd"/>
      <w:r w:rsidRPr="0009531E">
        <w:rPr>
          <w:rFonts w:asciiTheme="majorHAnsi" w:hAnsiTheme="majorHAnsi" w:cstheme="majorHAnsi"/>
          <w:szCs w:val="20"/>
          <w:lang w:val="en-IE"/>
        </w:rPr>
        <w:br/>
        <w:t>Leinster House</w:t>
      </w:r>
      <w:r w:rsidRPr="0009531E">
        <w:rPr>
          <w:rFonts w:asciiTheme="majorHAnsi" w:hAnsiTheme="majorHAnsi" w:cstheme="majorHAnsi"/>
          <w:szCs w:val="20"/>
          <w:lang w:val="en-IE"/>
        </w:rPr>
        <w:br/>
        <w:t>Kildare Street</w:t>
      </w:r>
      <w:r w:rsidRPr="0009531E">
        <w:rPr>
          <w:rFonts w:asciiTheme="majorHAnsi" w:hAnsiTheme="majorHAnsi" w:cstheme="majorHAnsi"/>
          <w:szCs w:val="20"/>
          <w:lang w:val="en-IE"/>
        </w:rPr>
        <w:br/>
        <w:t>Dublin 2</w:t>
      </w:r>
    </w:p>
    <w:p w:rsidR="007D5E43" w:rsidRPr="0009531E" w:rsidRDefault="007D5E43" w:rsidP="007D5E43">
      <w:pPr>
        <w:rPr>
          <w:rFonts w:asciiTheme="majorHAnsi" w:hAnsiTheme="majorHAnsi" w:cstheme="majorHAnsi"/>
          <w:szCs w:val="20"/>
          <w:lang w:val="en-IE"/>
        </w:rPr>
      </w:pPr>
      <w:r w:rsidRPr="0009531E">
        <w:rPr>
          <w:rFonts w:asciiTheme="majorHAnsi" w:hAnsiTheme="majorHAnsi" w:cstheme="majorHAnsi"/>
          <w:b/>
          <w:bCs/>
          <w:szCs w:val="20"/>
          <w:lang w:val="en-IE"/>
        </w:rPr>
        <w:t>Re: Urgent Concerns Regarding the Mental Health Bill 2024</w:t>
      </w:r>
    </w:p>
    <w:p w:rsidR="007D5E43" w:rsidRPr="0009531E" w:rsidRDefault="007D5E43" w:rsidP="007D5E43">
      <w:pPr>
        <w:rPr>
          <w:rFonts w:asciiTheme="majorHAnsi" w:hAnsiTheme="majorHAnsi" w:cstheme="majorHAnsi"/>
          <w:color w:val="FF0000"/>
          <w:szCs w:val="20"/>
          <w:lang w:val="en-IE"/>
        </w:rPr>
      </w:pPr>
      <w:r w:rsidRPr="0009531E">
        <w:rPr>
          <w:rFonts w:asciiTheme="majorHAnsi" w:hAnsiTheme="majorHAnsi" w:cstheme="majorHAnsi"/>
          <w:szCs w:val="20"/>
          <w:lang w:val="en-IE"/>
        </w:rPr>
        <w:t xml:space="preserve">Dear </w:t>
      </w:r>
      <w:r w:rsidRPr="0009531E">
        <w:rPr>
          <w:rFonts w:asciiTheme="majorHAnsi" w:hAnsiTheme="majorHAnsi" w:cstheme="majorHAnsi"/>
          <w:color w:val="FF0000"/>
          <w:szCs w:val="20"/>
          <w:lang w:val="en-IE"/>
        </w:rPr>
        <w:t>[Deputy/Senator] [Last Name],</w:t>
      </w:r>
    </w:p>
    <w:p w:rsidR="007D5E43" w:rsidRPr="0009531E" w:rsidRDefault="007D5E43" w:rsidP="007D5E43">
      <w:pPr>
        <w:rPr>
          <w:rFonts w:asciiTheme="majorHAnsi" w:hAnsiTheme="majorHAnsi" w:cstheme="majorHAnsi"/>
          <w:szCs w:val="20"/>
          <w:lang w:val="en-IE"/>
        </w:rPr>
      </w:pPr>
      <w:r w:rsidRPr="0009531E">
        <w:rPr>
          <w:rFonts w:asciiTheme="majorHAnsi" w:hAnsiTheme="majorHAnsi" w:cstheme="majorHAnsi"/>
          <w:szCs w:val="20"/>
          <w:lang w:val="en-IE"/>
        </w:rPr>
        <w:t xml:space="preserve">I am writing to you as a concerned constituent to express serious concerns about the </w:t>
      </w:r>
      <w:r w:rsidRPr="0009531E">
        <w:rPr>
          <w:rFonts w:asciiTheme="majorHAnsi" w:hAnsiTheme="majorHAnsi" w:cstheme="majorHAnsi"/>
          <w:bCs/>
          <w:szCs w:val="20"/>
          <w:lang w:val="en-IE"/>
        </w:rPr>
        <w:t>Mental Health Bill 2024</w:t>
      </w:r>
      <w:r w:rsidRPr="0009531E">
        <w:rPr>
          <w:rFonts w:asciiTheme="majorHAnsi" w:hAnsiTheme="majorHAnsi" w:cstheme="majorHAnsi"/>
          <w:szCs w:val="20"/>
          <w:lang w:val="en-IE"/>
        </w:rPr>
        <w:t xml:space="preserve"> as it progresses through the </w:t>
      </w:r>
      <w:proofErr w:type="spellStart"/>
      <w:r w:rsidRPr="0009531E">
        <w:rPr>
          <w:rFonts w:asciiTheme="majorHAnsi" w:hAnsiTheme="majorHAnsi" w:cstheme="majorHAnsi"/>
          <w:szCs w:val="20"/>
          <w:lang w:val="en-IE"/>
        </w:rPr>
        <w:t>Oireachtas</w:t>
      </w:r>
      <w:proofErr w:type="spellEnd"/>
      <w:r w:rsidRPr="0009531E">
        <w:rPr>
          <w:rFonts w:asciiTheme="majorHAnsi" w:hAnsiTheme="majorHAnsi" w:cstheme="majorHAnsi"/>
          <w:szCs w:val="20"/>
          <w:lang w:val="en-IE"/>
        </w:rPr>
        <w:t>. While I welcome the intention to modernise mental health legislation and recognise the important reforms that have been proposed, several provisions in the current draft risk undermining the rights, dignity, and autonomy of people experiencing mental health difficulties.</w:t>
      </w:r>
    </w:p>
    <w:p w:rsidR="007D5E43" w:rsidRPr="0009531E" w:rsidRDefault="007D5E43" w:rsidP="007D5E43">
      <w:pPr>
        <w:rPr>
          <w:rFonts w:asciiTheme="majorHAnsi" w:hAnsiTheme="majorHAnsi" w:cstheme="majorHAnsi"/>
          <w:szCs w:val="20"/>
          <w:lang w:val="en-IE"/>
        </w:rPr>
      </w:pPr>
      <w:r w:rsidRPr="0009531E">
        <w:rPr>
          <w:rFonts w:asciiTheme="majorHAnsi" w:hAnsiTheme="majorHAnsi" w:cstheme="majorHAnsi"/>
          <w:szCs w:val="20"/>
          <w:lang w:val="en-IE"/>
        </w:rPr>
        <w:t>In particular, I am concerned about the following issues:</w:t>
      </w:r>
    </w:p>
    <w:p w:rsidR="007D5E43" w:rsidRPr="0009531E" w:rsidRDefault="007D5E43" w:rsidP="007D5E43">
      <w:pPr>
        <w:numPr>
          <w:ilvl w:val="0"/>
          <w:numId w:val="11"/>
        </w:numPr>
        <w:tabs>
          <w:tab w:val="clear" w:pos="360"/>
          <w:tab w:val="num" w:pos="720"/>
        </w:tabs>
        <w:rPr>
          <w:rFonts w:asciiTheme="majorHAnsi" w:hAnsiTheme="majorHAnsi" w:cstheme="majorHAnsi"/>
          <w:szCs w:val="20"/>
          <w:lang w:val="en-IE"/>
        </w:rPr>
      </w:pPr>
      <w:r w:rsidRPr="0009531E">
        <w:rPr>
          <w:rFonts w:asciiTheme="majorHAnsi" w:hAnsiTheme="majorHAnsi" w:cstheme="majorHAnsi"/>
          <w:b/>
          <w:bCs/>
          <w:szCs w:val="20"/>
          <w:lang w:val="en-IE"/>
        </w:rPr>
        <w:t>Involuntary treatment without timely capacity assessment</w:t>
      </w:r>
      <w:r w:rsidRPr="0009531E">
        <w:rPr>
          <w:rFonts w:asciiTheme="majorHAnsi" w:hAnsiTheme="majorHAnsi" w:cstheme="majorHAnsi"/>
          <w:szCs w:val="20"/>
          <w:lang w:val="en-IE"/>
        </w:rPr>
        <w:br/>
        <w:t>The Bill allows for treatment without consent before a capacity assessment has been completed, increasing the risk of rights violations.</w:t>
      </w:r>
    </w:p>
    <w:p w:rsidR="007D5E43" w:rsidRPr="0009531E" w:rsidRDefault="007D5E43" w:rsidP="007D5E43">
      <w:pPr>
        <w:numPr>
          <w:ilvl w:val="0"/>
          <w:numId w:val="11"/>
        </w:numPr>
        <w:tabs>
          <w:tab w:val="clear" w:pos="360"/>
          <w:tab w:val="num" w:pos="720"/>
        </w:tabs>
        <w:rPr>
          <w:rFonts w:asciiTheme="majorHAnsi" w:hAnsiTheme="majorHAnsi" w:cstheme="majorHAnsi"/>
          <w:szCs w:val="20"/>
          <w:lang w:val="en-IE"/>
        </w:rPr>
      </w:pPr>
      <w:r w:rsidRPr="0009531E">
        <w:rPr>
          <w:rFonts w:asciiTheme="majorHAnsi" w:hAnsiTheme="majorHAnsi" w:cstheme="majorHAnsi"/>
          <w:b/>
          <w:bCs/>
          <w:szCs w:val="20"/>
          <w:lang w:val="en-IE"/>
        </w:rPr>
        <w:t>Extended timeframes for involuntary treatment</w:t>
      </w:r>
      <w:r w:rsidRPr="0009531E">
        <w:rPr>
          <w:rFonts w:asciiTheme="majorHAnsi" w:hAnsiTheme="majorHAnsi" w:cstheme="majorHAnsi"/>
          <w:szCs w:val="20"/>
          <w:lang w:val="en-IE"/>
        </w:rPr>
        <w:br/>
        <w:t>The Bill proposes extending the initial treatment period from 21 to 42 days without a new capacity assessment, which may lead to unnecessary and prolonged detention.</w:t>
      </w:r>
    </w:p>
    <w:p w:rsidR="007D5E43" w:rsidRPr="0009531E" w:rsidRDefault="007D5E43" w:rsidP="007D5E43">
      <w:pPr>
        <w:numPr>
          <w:ilvl w:val="0"/>
          <w:numId w:val="11"/>
        </w:numPr>
        <w:tabs>
          <w:tab w:val="clear" w:pos="360"/>
          <w:tab w:val="num" w:pos="720"/>
        </w:tabs>
        <w:rPr>
          <w:rFonts w:asciiTheme="majorHAnsi" w:hAnsiTheme="majorHAnsi" w:cstheme="majorHAnsi"/>
          <w:szCs w:val="20"/>
          <w:lang w:val="en-IE"/>
        </w:rPr>
      </w:pPr>
      <w:r w:rsidRPr="0009531E">
        <w:rPr>
          <w:rFonts w:asciiTheme="majorHAnsi" w:hAnsiTheme="majorHAnsi" w:cstheme="majorHAnsi"/>
          <w:b/>
          <w:bCs/>
          <w:szCs w:val="20"/>
          <w:lang w:val="en-IE"/>
        </w:rPr>
        <w:t>Expansion of criteria for involuntary treatment</w:t>
      </w:r>
      <w:r w:rsidRPr="0009531E">
        <w:rPr>
          <w:rFonts w:asciiTheme="majorHAnsi" w:hAnsiTheme="majorHAnsi" w:cstheme="majorHAnsi"/>
          <w:szCs w:val="20"/>
          <w:lang w:val="en-IE"/>
        </w:rPr>
        <w:br/>
        <w:t>The inclusion of “likely to benefit” as a treatment criterion may result in excessive discretion to impose forced treatment, even when it may not be clearly necessary.</w:t>
      </w:r>
    </w:p>
    <w:p w:rsidR="007D5E43" w:rsidRPr="0009531E" w:rsidRDefault="007D5E43" w:rsidP="007D5E43">
      <w:pPr>
        <w:numPr>
          <w:ilvl w:val="0"/>
          <w:numId w:val="11"/>
        </w:numPr>
        <w:tabs>
          <w:tab w:val="clear" w:pos="360"/>
          <w:tab w:val="num" w:pos="720"/>
        </w:tabs>
        <w:rPr>
          <w:rFonts w:asciiTheme="majorHAnsi" w:hAnsiTheme="majorHAnsi" w:cstheme="majorHAnsi"/>
          <w:szCs w:val="20"/>
          <w:lang w:val="en-IE"/>
        </w:rPr>
      </w:pPr>
      <w:r w:rsidRPr="0009531E">
        <w:rPr>
          <w:rFonts w:asciiTheme="majorHAnsi" w:hAnsiTheme="majorHAnsi" w:cstheme="majorHAnsi"/>
          <w:b/>
          <w:bCs/>
          <w:szCs w:val="20"/>
          <w:lang w:val="en-IE"/>
        </w:rPr>
        <w:t>No legal right to advocacy or an independent complaints process</w:t>
      </w:r>
      <w:r w:rsidRPr="0009531E">
        <w:rPr>
          <w:rFonts w:asciiTheme="majorHAnsi" w:hAnsiTheme="majorHAnsi" w:cstheme="majorHAnsi"/>
          <w:szCs w:val="20"/>
          <w:lang w:val="en-IE"/>
        </w:rPr>
        <w:br/>
        <w:t>People subject to involuntary treatment still have no statutory right to an independent advocate or to access an independent complaints mechanism.</w:t>
      </w:r>
    </w:p>
    <w:p w:rsidR="007D5E43" w:rsidRPr="0009531E" w:rsidRDefault="007D5E43" w:rsidP="007D5E43">
      <w:pPr>
        <w:numPr>
          <w:ilvl w:val="0"/>
          <w:numId w:val="11"/>
        </w:numPr>
        <w:tabs>
          <w:tab w:val="clear" w:pos="360"/>
          <w:tab w:val="num" w:pos="720"/>
        </w:tabs>
        <w:rPr>
          <w:rFonts w:asciiTheme="majorHAnsi" w:hAnsiTheme="majorHAnsi" w:cstheme="majorHAnsi"/>
          <w:szCs w:val="20"/>
          <w:lang w:val="en-IE"/>
        </w:rPr>
      </w:pPr>
      <w:r w:rsidRPr="0009531E">
        <w:rPr>
          <w:rFonts w:asciiTheme="majorHAnsi" w:hAnsiTheme="majorHAnsi" w:cstheme="majorHAnsi"/>
          <w:b/>
          <w:bCs/>
          <w:szCs w:val="20"/>
          <w:lang w:val="en-IE"/>
        </w:rPr>
        <w:t>Involuntary treatment of individuals who have capacity</w:t>
      </w:r>
      <w:r w:rsidRPr="0009531E">
        <w:rPr>
          <w:rFonts w:asciiTheme="majorHAnsi" w:hAnsiTheme="majorHAnsi" w:cstheme="majorHAnsi"/>
          <w:szCs w:val="20"/>
          <w:lang w:val="en-IE"/>
        </w:rPr>
        <w:br/>
        <w:t>The Bill permits involuntary treatment for up to 72 hours even when a person has decision-making capacity, a decision-making representative, or a valid Advance Healthcare Directive.</w:t>
      </w:r>
    </w:p>
    <w:p w:rsidR="007D5E43" w:rsidRPr="0009531E" w:rsidRDefault="007D5E43" w:rsidP="007D5E43">
      <w:pPr>
        <w:numPr>
          <w:ilvl w:val="0"/>
          <w:numId w:val="11"/>
        </w:numPr>
        <w:tabs>
          <w:tab w:val="clear" w:pos="360"/>
          <w:tab w:val="num" w:pos="720"/>
        </w:tabs>
        <w:rPr>
          <w:rFonts w:asciiTheme="majorHAnsi" w:hAnsiTheme="majorHAnsi" w:cstheme="majorHAnsi"/>
          <w:szCs w:val="20"/>
          <w:lang w:val="en-IE"/>
        </w:rPr>
      </w:pPr>
      <w:r w:rsidRPr="0009531E">
        <w:rPr>
          <w:rFonts w:asciiTheme="majorHAnsi" w:hAnsiTheme="majorHAnsi" w:cstheme="majorHAnsi"/>
          <w:b/>
          <w:bCs/>
          <w:szCs w:val="20"/>
          <w:lang w:val="en-IE"/>
        </w:rPr>
        <w:t>Failure to regulate the use of chemical restraint</w:t>
      </w:r>
      <w:r w:rsidRPr="0009531E">
        <w:rPr>
          <w:rFonts w:asciiTheme="majorHAnsi" w:hAnsiTheme="majorHAnsi" w:cstheme="majorHAnsi"/>
          <w:szCs w:val="20"/>
          <w:lang w:val="en-IE"/>
        </w:rPr>
        <w:br/>
        <w:t>The Bill does not provide statutory safeguards to govern the use of chemical restraint, despite its significant impact on bodily autonomy.</w:t>
      </w:r>
    </w:p>
    <w:p w:rsidR="007D5E43" w:rsidRPr="0009531E" w:rsidRDefault="007D5E43" w:rsidP="007D5E43">
      <w:pPr>
        <w:numPr>
          <w:ilvl w:val="0"/>
          <w:numId w:val="11"/>
        </w:numPr>
        <w:tabs>
          <w:tab w:val="clear" w:pos="360"/>
          <w:tab w:val="num" w:pos="720"/>
        </w:tabs>
        <w:rPr>
          <w:rFonts w:asciiTheme="majorHAnsi" w:hAnsiTheme="majorHAnsi" w:cstheme="majorHAnsi"/>
          <w:szCs w:val="20"/>
          <w:lang w:val="en-IE"/>
        </w:rPr>
      </w:pPr>
      <w:r w:rsidRPr="0009531E">
        <w:rPr>
          <w:rFonts w:asciiTheme="majorHAnsi" w:hAnsiTheme="majorHAnsi" w:cstheme="majorHAnsi"/>
          <w:b/>
          <w:bCs/>
          <w:szCs w:val="20"/>
          <w:lang w:val="en-IE"/>
        </w:rPr>
        <w:lastRenderedPageBreak/>
        <w:t>Admission of children to adult units</w:t>
      </w:r>
      <w:r w:rsidRPr="0009531E">
        <w:rPr>
          <w:rFonts w:asciiTheme="majorHAnsi" w:hAnsiTheme="majorHAnsi" w:cstheme="majorHAnsi"/>
          <w:szCs w:val="20"/>
          <w:lang w:val="en-IE"/>
        </w:rPr>
        <w:br/>
        <w:t>The continued practice of admitting children to adult mental health units is incompatible with children’s rights and best interests.</w:t>
      </w:r>
    </w:p>
    <w:p w:rsidR="007D5E43" w:rsidRPr="0009531E" w:rsidRDefault="007D5E43" w:rsidP="007D5E43">
      <w:pPr>
        <w:numPr>
          <w:ilvl w:val="0"/>
          <w:numId w:val="11"/>
        </w:numPr>
        <w:tabs>
          <w:tab w:val="clear" w:pos="360"/>
          <w:tab w:val="num" w:pos="720"/>
        </w:tabs>
        <w:rPr>
          <w:rFonts w:asciiTheme="majorHAnsi" w:hAnsiTheme="majorHAnsi" w:cstheme="majorHAnsi"/>
          <w:szCs w:val="20"/>
          <w:lang w:val="en-IE"/>
        </w:rPr>
      </w:pPr>
      <w:r w:rsidRPr="0009531E">
        <w:rPr>
          <w:rFonts w:asciiTheme="majorHAnsi" w:hAnsiTheme="majorHAnsi" w:cstheme="majorHAnsi"/>
          <w:b/>
          <w:bCs/>
          <w:szCs w:val="20"/>
          <w:lang w:val="en-IE"/>
        </w:rPr>
        <w:t>Use of stigmatising language</w:t>
      </w:r>
      <w:r w:rsidRPr="0009531E">
        <w:rPr>
          <w:rFonts w:asciiTheme="majorHAnsi" w:hAnsiTheme="majorHAnsi" w:cstheme="majorHAnsi"/>
          <w:szCs w:val="20"/>
          <w:lang w:val="en-IE"/>
        </w:rPr>
        <w:br/>
        <w:t xml:space="preserve">The term “mental disorder” is outdated and stigmatising. More respectful, person-centred language is needed, in line with </w:t>
      </w:r>
      <w:r w:rsidRPr="0009531E">
        <w:rPr>
          <w:rFonts w:asciiTheme="majorHAnsi" w:hAnsiTheme="majorHAnsi" w:cstheme="majorHAnsi"/>
          <w:i/>
          <w:iCs/>
          <w:szCs w:val="20"/>
          <w:lang w:val="en-IE"/>
        </w:rPr>
        <w:t>Sharing the Vision</w:t>
      </w:r>
      <w:r w:rsidRPr="0009531E">
        <w:rPr>
          <w:rFonts w:asciiTheme="majorHAnsi" w:hAnsiTheme="majorHAnsi" w:cstheme="majorHAnsi"/>
          <w:szCs w:val="20"/>
          <w:lang w:val="en-IE"/>
        </w:rPr>
        <w:t>.</w:t>
      </w:r>
    </w:p>
    <w:p w:rsidR="007D5E43" w:rsidRPr="0009531E" w:rsidRDefault="007D5E43" w:rsidP="007D5E43">
      <w:pPr>
        <w:rPr>
          <w:rFonts w:asciiTheme="majorHAnsi" w:hAnsiTheme="majorHAnsi" w:cstheme="majorHAnsi"/>
          <w:szCs w:val="20"/>
          <w:lang w:val="en-IE"/>
        </w:rPr>
      </w:pPr>
      <w:r w:rsidRPr="0009531E">
        <w:rPr>
          <w:rFonts w:asciiTheme="majorHAnsi" w:hAnsiTheme="majorHAnsi" w:cstheme="majorHAnsi"/>
          <w:szCs w:val="20"/>
          <w:lang w:val="en-IE"/>
        </w:rPr>
        <w:br/>
        <w:t>To strengthen the Bill and ensure alignment with human rights principles and best practice, I urge you to support the following amendments:</w:t>
      </w:r>
    </w:p>
    <w:p w:rsidR="007D5E43" w:rsidRPr="0009531E" w:rsidRDefault="007D5E43" w:rsidP="0009531E">
      <w:pPr>
        <w:pStyle w:val="NoSpacing"/>
        <w:numPr>
          <w:ilvl w:val="0"/>
          <w:numId w:val="14"/>
        </w:numPr>
        <w:rPr>
          <w:rFonts w:asciiTheme="majorHAnsi" w:hAnsiTheme="majorHAnsi" w:cstheme="majorHAnsi"/>
        </w:rPr>
      </w:pPr>
      <w:r w:rsidRPr="0009531E">
        <w:rPr>
          <w:rFonts w:asciiTheme="majorHAnsi" w:hAnsiTheme="majorHAnsi" w:cstheme="majorHAnsi"/>
        </w:rPr>
        <w:t>Mandate a capacity assessment before any involuntary treatment can be administered.</w:t>
      </w:r>
    </w:p>
    <w:p w:rsidR="007D5E43" w:rsidRPr="0009531E" w:rsidRDefault="007D5E43" w:rsidP="0009531E">
      <w:pPr>
        <w:pStyle w:val="NoSpacing"/>
        <w:numPr>
          <w:ilvl w:val="0"/>
          <w:numId w:val="14"/>
        </w:numPr>
        <w:rPr>
          <w:rFonts w:asciiTheme="majorHAnsi" w:hAnsiTheme="majorHAnsi" w:cstheme="majorHAnsi"/>
        </w:rPr>
      </w:pPr>
      <w:r w:rsidRPr="0009531E">
        <w:rPr>
          <w:rFonts w:asciiTheme="majorHAnsi" w:hAnsiTheme="majorHAnsi" w:cstheme="majorHAnsi"/>
        </w:rPr>
        <w:t>Retain the 21-day limit on initial treatment and require a capacity reassessment before any extension is granted.</w:t>
      </w:r>
    </w:p>
    <w:p w:rsidR="007D5E43" w:rsidRPr="0009531E" w:rsidRDefault="007D5E43" w:rsidP="0009531E">
      <w:pPr>
        <w:pStyle w:val="NoSpacing"/>
        <w:numPr>
          <w:ilvl w:val="0"/>
          <w:numId w:val="14"/>
        </w:numPr>
        <w:rPr>
          <w:rFonts w:asciiTheme="majorHAnsi" w:hAnsiTheme="majorHAnsi" w:cstheme="majorHAnsi"/>
        </w:rPr>
      </w:pPr>
      <w:r w:rsidRPr="0009531E">
        <w:rPr>
          <w:rFonts w:asciiTheme="majorHAnsi" w:hAnsiTheme="majorHAnsi" w:cstheme="majorHAnsi"/>
        </w:rPr>
        <w:t>Remove or clearly define the term “likely to benefit” to prevent overbroad application of involuntary treatment.</w:t>
      </w:r>
    </w:p>
    <w:p w:rsidR="007D5E43" w:rsidRPr="0009531E" w:rsidRDefault="007D5E43" w:rsidP="0009531E">
      <w:pPr>
        <w:pStyle w:val="NoSpacing"/>
        <w:numPr>
          <w:ilvl w:val="0"/>
          <w:numId w:val="14"/>
        </w:numPr>
        <w:rPr>
          <w:rFonts w:asciiTheme="majorHAnsi" w:hAnsiTheme="majorHAnsi" w:cstheme="majorHAnsi"/>
        </w:rPr>
      </w:pPr>
      <w:r w:rsidRPr="0009531E">
        <w:rPr>
          <w:rFonts w:asciiTheme="majorHAnsi" w:hAnsiTheme="majorHAnsi" w:cstheme="majorHAnsi"/>
        </w:rPr>
        <w:t xml:space="preserve">Introduce a legal entitlement to independent advocacy and establish an independent complaints mechanism for all </w:t>
      </w:r>
      <w:r w:rsidR="0009531E" w:rsidRPr="0009531E">
        <w:rPr>
          <w:rFonts w:asciiTheme="majorHAnsi" w:hAnsiTheme="majorHAnsi" w:cstheme="majorHAnsi"/>
        </w:rPr>
        <w:t>individuals’</w:t>
      </w:r>
      <w:r w:rsidRPr="0009531E">
        <w:rPr>
          <w:rFonts w:asciiTheme="majorHAnsi" w:hAnsiTheme="majorHAnsi" w:cstheme="majorHAnsi"/>
        </w:rPr>
        <w:t xml:space="preserve"> subject to the Act.</w:t>
      </w:r>
    </w:p>
    <w:p w:rsidR="007D5E43" w:rsidRPr="0009531E" w:rsidRDefault="007D5E43" w:rsidP="0009531E">
      <w:pPr>
        <w:pStyle w:val="NoSpacing"/>
        <w:numPr>
          <w:ilvl w:val="0"/>
          <w:numId w:val="14"/>
        </w:numPr>
        <w:rPr>
          <w:rFonts w:asciiTheme="majorHAnsi" w:hAnsiTheme="majorHAnsi" w:cstheme="majorHAnsi"/>
        </w:rPr>
      </w:pPr>
      <w:r w:rsidRPr="0009531E">
        <w:rPr>
          <w:rFonts w:asciiTheme="majorHAnsi" w:hAnsiTheme="majorHAnsi" w:cstheme="majorHAnsi"/>
        </w:rPr>
        <w:t>Prohibit involuntary treatment where a person has capacity, a decision-making representative, or a valid Advance Healthcare Directive in place.</w:t>
      </w:r>
    </w:p>
    <w:p w:rsidR="007D5E43" w:rsidRPr="0009531E" w:rsidRDefault="007D5E43" w:rsidP="0009531E">
      <w:pPr>
        <w:pStyle w:val="NoSpacing"/>
        <w:numPr>
          <w:ilvl w:val="0"/>
          <w:numId w:val="14"/>
        </w:numPr>
        <w:rPr>
          <w:rFonts w:asciiTheme="majorHAnsi" w:hAnsiTheme="majorHAnsi" w:cstheme="majorHAnsi"/>
        </w:rPr>
      </w:pPr>
      <w:r w:rsidRPr="0009531E">
        <w:rPr>
          <w:rFonts w:asciiTheme="majorHAnsi" w:hAnsiTheme="majorHAnsi" w:cstheme="majorHAnsi"/>
        </w:rPr>
        <w:t>Introduce statutory safeguards, including limits, reporting requirements, and oversight, for the use of chemical restraint.</w:t>
      </w:r>
    </w:p>
    <w:p w:rsidR="007D5E43" w:rsidRPr="0009531E" w:rsidRDefault="007D5E43" w:rsidP="0009531E">
      <w:pPr>
        <w:pStyle w:val="NoSpacing"/>
        <w:numPr>
          <w:ilvl w:val="0"/>
          <w:numId w:val="14"/>
        </w:numPr>
        <w:rPr>
          <w:rFonts w:asciiTheme="majorHAnsi" w:hAnsiTheme="majorHAnsi" w:cstheme="majorHAnsi"/>
        </w:rPr>
      </w:pPr>
      <w:r w:rsidRPr="0009531E">
        <w:rPr>
          <w:rFonts w:asciiTheme="majorHAnsi" w:hAnsiTheme="majorHAnsi" w:cstheme="majorHAnsi"/>
        </w:rPr>
        <w:t>Prohibit this practice except in genuine emergencies, with a maximum time limit and strict safeguards.</w:t>
      </w:r>
    </w:p>
    <w:p w:rsidR="007D5E43" w:rsidRPr="0009531E" w:rsidRDefault="007D5E43" w:rsidP="0009531E">
      <w:pPr>
        <w:pStyle w:val="NoSpacing"/>
        <w:numPr>
          <w:ilvl w:val="0"/>
          <w:numId w:val="14"/>
        </w:numPr>
        <w:rPr>
          <w:rFonts w:asciiTheme="majorHAnsi" w:hAnsiTheme="majorHAnsi" w:cstheme="majorHAnsi"/>
        </w:rPr>
      </w:pPr>
      <w:r w:rsidRPr="0009531E">
        <w:rPr>
          <w:rFonts w:asciiTheme="majorHAnsi" w:hAnsiTheme="majorHAnsi" w:cstheme="majorHAnsi"/>
        </w:rPr>
        <w:t>Replace the term “mental disorder” with “mental health difficulties” or similarly respectful terminology aligned with Sharing the Vision.</w:t>
      </w:r>
    </w:p>
    <w:p w:rsidR="007D5E43" w:rsidRPr="0009531E" w:rsidRDefault="007D5E43" w:rsidP="007D5E43">
      <w:pPr>
        <w:rPr>
          <w:rFonts w:asciiTheme="majorHAnsi" w:hAnsiTheme="majorHAnsi" w:cstheme="majorHAnsi"/>
          <w:szCs w:val="20"/>
          <w:lang w:val="en-IE"/>
        </w:rPr>
      </w:pPr>
    </w:p>
    <w:p w:rsidR="007D5E43" w:rsidRPr="0009531E" w:rsidRDefault="007D5E43" w:rsidP="007D5E43">
      <w:pPr>
        <w:rPr>
          <w:rFonts w:asciiTheme="majorHAnsi" w:hAnsiTheme="majorHAnsi" w:cstheme="majorHAnsi"/>
          <w:szCs w:val="20"/>
          <w:lang w:val="en-IE"/>
        </w:rPr>
      </w:pPr>
      <w:r w:rsidRPr="0009531E">
        <w:rPr>
          <w:rFonts w:asciiTheme="majorHAnsi" w:hAnsiTheme="majorHAnsi" w:cstheme="majorHAnsi"/>
          <w:szCs w:val="20"/>
          <w:lang w:val="en-IE"/>
        </w:rPr>
        <w:t>Thank you for taking the time to consider these concerns. I would be grateful for your views on the above issues and ask that you actively engage with the legislative process to ensure the Bill upholds the rights of all individuals accessing mental health care.</w:t>
      </w:r>
    </w:p>
    <w:p w:rsidR="007D5E43" w:rsidRPr="0009531E" w:rsidRDefault="007D5E43" w:rsidP="007D5E43">
      <w:pPr>
        <w:rPr>
          <w:rFonts w:asciiTheme="majorHAnsi" w:hAnsiTheme="majorHAnsi" w:cstheme="majorHAnsi"/>
          <w:szCs w:val="20"/>
          <w:lang w:val="en-IE"/>
        </w:rPr>
      </w:pPr>
      <w:r w:rsidRPr="0009531E">
        <w:rPr>
          <w:rFonts w:asciiTheme="majorHAnsi" w:hAnsiTheme="majorHAnsi" w:cstheme="majorHAnsi"/>
          <w:szCs w:val="20"/>
          <w:lang w:val="en-IE"/>
        </w:rPr>
        <w:t>Yours sincerely,</w:t>
      </w:r>
      <w:r w:rsidRPr="0009531E">
        <w:rPr>
          <w:rFonts w:asciiTheme="majorHAnsi" w:hAnsiTheme="majorHAnsi" w:cstheme="majorHAnsi"/>
          <w:szCs w:val="20"/>
          <w:lang w:val="en-IE"/>
        </w:rPr>
        <w:br/>
      </w:r>
      <w:r w:rsidRPr="0009531E">
        <w:rPr>
          <w:rFonts w:asciiTheme="majorHAnsi" w:hAnsiTheme="majorHAnsi" w:cstheme="majorHAnsi"/>
          <w:b/>
          <w:bCs/>
          <w:color w:val="FF0000"/>
          <w:szCs w:val="20"/>
          <w:lang w:val="en-IE"/>
        </w:rPr>
        <w:t>[Your Full Name]</w:t>
      </w:r>
    </w:p>
    <w:p w:rsidR="001A1596" w:rsidRPr="0009531E" w:rsidRDefault="001A1596">
      <w:pPr>
        <w:rPr>
          <w:rFonts w:asciiTheme="majorHAnsi" w:hAnsiTheme="majorHAnsi" w:cstheme="majorHAnsi"/>
          <w:szCs w:val="20"/>
        </w:rPr>
      </w:pPr>
    </w:p>
    <w:sectPr w:rsidR="001A1596" w:rsidRPr="0009531E" w:rsidSect="007D5E4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FE79B3"/>
    <w:multiLevelType w:val="multilevel"/>
    <w:tmpl w:val="1842FA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3754ED2"/>
    <w:multiLevelType w:val="hybridMultilevel"/>
    <w:tmpl w:val="0EF4EF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DC3989"/>
    <w:multiLevelType w:val="multilevel"/>
    <w:tmpl w:val="C0040F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644C4"/>
    <w:multiLevelType w:val="multilevel"/>
    <w:tmpl w:val="C0040F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7DA43E74"/>
    <w:multiLevelType w:val="multilevel"/>
    <w:tmpl w:val="4894A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9531E"/>
    <w:rsid w:val="0010363E"/>
    <w:rsid w:val="0015074B"/>
    <w:rsid w:val="001A1596"/>
    <w:rsid w:val="0029639D"/>
    <w:rsid w:val="00326F90"/>
    <w:rsid w:val="007D5E43"/>
    <w:rsid w:val="00951AA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E4941"/>
  <w14:defaultImageDpi w14:val="300"/>
  <w15:docId w15:val="{6AD46DFD-7B96-4CAF-AE9C-F43A9035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99090">
      <w:bodyDiv w:val="1"/>
      <w:marLeft w:val="0"/>
      <w:marRight w:val="0"/>
      <w:marTop w:val="0"/>
      <w:marBottom w:val="0"/>
      <w:divBdr>
        <w:top w:val="none" w:sz="0" w:space="0" w:color="auto"/>
        <w:left w:val="none" w:sz="0" w:space="0" w:color="auto"/>
        <w:bottom w:val="none" w:sz="0" w:space="0" w:color="auto"/>
        <w:right w:val="none" w:sz="0" w:space="0" w:color="auto"/>
      </w:divBdr>
    </w:div>
    <w:div w:id="922227546">
      <w:bodyDiv w:val="1"/>
      <w:marLeft w:val="0"/>
      <w:marRight w:val="0"/>
      <w:marTop w:val="0"/>
      <w:marBottom w:val="0"/>
      <w:divBdr>
        <w:top w:val="none" w:sz="0" w:space="0" w:color="auto"/>
        <w:left w:val="none" w:sz="0" w:space="0" w:color="auto"/>
        <w:bottom w:val="none" w:sz="0" w:space="0" w:color="auto"/>
        <w:right w:val="none" w:sz="0" w:space="0" w:color="auto"/>
      </w:divBdr>
    </w:div>
    <w:div w:id="1888104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0969-9FED-4152-8F1C-5FD2CD47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Louise</cp:lastModifiedBy>
  <cp:revision>2</cp:revision>
  <dcterms:created xsi:type="dcterms:W3CDTF">2025-08-08T09:40:00Z</dcterms:created>
  <dcterms:modified xsi:type="dcterms:W3CDTF">2025-08-08T09:40:00Z</dcterms:modified>
  <cp:category/>
</cp:coreProperties>
</file>