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CD6E" w14:textId="78C49FB1" w:rsidR="003A222D" w:rsidRDefault="00F74CF0" w:rsidP="00260385">
      <w:pPr>
        <w:rPr>
          <w:rFonts w:ascii="Arial" w:eastAsia="Arial" w:hAnsi="Arial" w:cs="Arial"/>
          <w:b/>
          <w:sz w:val="28"/>
          <w:szCs w:val="28"/>
        </w:rPr>
      </w:pPr>
      <w:r w:rsidRPr="00F74CF0">
        <w:t xml:space="preserve"> </w:t>
      </w:r>
      <w:r w:rsidRPr="00F74CF0">
        <w:rPr>
          <w:rFonts w:ascii="Arial" w:eastAsia="Arial" w:hAnsi="Arial" w:cs="Arial"/>
          <w:b/>
          <w:noProof/>
          <w:sz w:val="28"/>
          <w:szCs w:val="28"/>
          <w:lang w:val="en-IE"/>
        </w:rPr>
        <w:drawing>
          <wp:inline distT="0" distB="0" distL="0" distR="0" wp14:anchorId="14A7832F" wp14:editId="4AF92330">
            <wp:extent cx="1919451" cy="638810"/>
            <wp:effectExtent l="0" t="0" r="5080" b="8890"/>
            <wp:docPr id="2" name="Picture 2" descr="Image result for slainte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aintec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047" cy="668296"/>
                    </a:xfrm>
                    <a:prstGeom prst="rect">
                      <a:avLst/>
                    </a:prstGeom>
                    <a:noFill/>
                    <a:ln>
                      <a:noFill/>
                    </a:ln>
                  </pic:spPr>
                </pic:pic>
              </a:graphicData>
            </a:graphic>
          </wp:inline>
        </w:drawing>
      </w:r>
      <w:r>
        <w:t xml:space="preserve">          </w:t>
      </w:r>
      <w:r>
        <w:tab/>
      </w:r>
      <w:r>
        <w:rPr>
          <w:noProof/>
          <w:lang w:val="en-IE"/>
        </w:rPr>
        <w:drawing>
          <wp:inline distT="0" distB="0" distL="0" distR="0" wp14:anchorId="1404B076" wp14:editId="43663942">
            <wp:extent cx="3052735" cy="669925"/>
            <wp:effectExtent l="0" t="0" r="0" b="0"/>
            <wp:docPr id="3" name="Picture 3" descr="Image result for 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449" cy="682371"/>
                    </a:xfrm>
                    <a:prstGeom prst="rect">
                      <a:avLst/>
                    </a:prstGeom>
                    <a:noFill/>
                    <a:ln>
                      <a:noFill/>
                    </a:ln>
                  </pic:spPr>
                </pic:pic>
              </a:graphicData>
            </a:graphic>
          </wp:inline>
        </w:drawing>
      </w:r>
    </w:p>
    <w:p w14:paraId="53FDAC7B" w14:textId="77777777" w:rsidR="003A222D" w:rsidRDefault="003A222D" w:rsidP="00F74CF0">
      <w:pPr>
        <w:rPr>
          <w:rFonts w:ascii="Arial" w:eastAsia="Arial" w:hAnsi="Arial" w:cs="Arial"/>
          <w:b/>
          <w:sz w:val="28"/>
          <w:szCs w:val="28"/>
        </w:rPr>
      </w:pPr>
      <w:r>
        <w:rPr>
          <w:b/>
          <w:noProof/>
          <w:sz w:val="44"/>
          <w:szCs w:val="44"/>
          <w:lang w:val="en-IE"/>
        </w:rPr>
        <w:drawing>
          <wp:anchor distT="0" distB="0" distL="114300" distR="114300" simplePos="0" relativeHeight="251659264" behindDoc="1" locked="0" layoutInCell="0" allowOverlap="1" wp14:anchorId="5E73CC22" wp14:editId="1B6B1709">
            <wp:simplePos x="0" y="0"/>
            <wp:positionH relativeFrom="column">
              <wp:posOffset>0</wp:posOffset>
            </wp:positionH>
            <wp:positionV relativeFrom="paragraph">
              <wp:posOffset>327025</wp:posOffset>
            </wp:positionV>
            <wp:extent cx="5438775" cy="1223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5438775" cy="1223645"/>
                    </a:xfrm>
                    <a:prstGeom prst="rect">
                      <a:avLst/>
                    </a:prstGeom>
                  </pic:spPr>
                </pic:pic>
              </a:graphicData>
            </a:graphic>
          </wp:anchor>
        </w:drawing>
      </w:r>
    </w:p>
    <w:p w14:paraId="45CEDB60" w14:textId="77777777" w:rsidR="003A222D" w:rsidRDefault="003A222D" w:rsidP="003A222D">
      <w:pPr>
        <w:jc w:val="center"/>
        <w:rPr>
          <w:rFonts w:ascii="Arial" w:eastAsia="Arial" w:hAnsi="Arial" w:cs="Arial"/>
          <w:b/>
          <w:sz w:val="28"/>
          <w:szCs w:val="28"/>
        </w:rPr>
      </w:pPr>
    </w:p>
    <w:p w14:paraId="2BC2D2E9" w14:textId="77777777" w:rsidR="003A222D" w:rsidRDefault="003A222D" w:rsidP="003A222D">
      <w:pPr>
        <w:jc w:val="center"/>
        <w:rPr>
          <w:rFonts w:ascii="Arial" w:eastAsia="Arial" w:hAnsi="Arial" w:cs="Arial"/>
          <w:b/>
          <w:sz w:val="28"/>
          <w:szCs w:val="28"/>
        </w:rPr>
      </w:pPr>
      <w:r>
        <w:rPr>
          <w:rFonts w:ascii="Arial" w:eastAsia="Arial" w:hAnsi="Arial" w:cs="Arial"/>
          <w:b/>
          <w:sz w:val="28"/>
          <w:szCs w:val="28"/>
        </w:rPr>
        <w:t>Evaluation of a Cultural Sensitivity Training Programme for HSE Community Mental Health Teams.</w:t>
      </w:r>
    </w:p>
    <w:p w14:paraId="6C21F0BC" w14:textId="77777777" w:rsidR="003A222D" w:rsidRDefault="003A222D" w:rsidP="003A222D">
      <w:pPr>
        <w:rPr>
          <w:rFonts w:ascii="Arial" w:eastAsia="Arial" w:hAnsi="Arial" w:cs="Arial"/>
          <w:b/>
          <w:i/>
          <w:sz w:val="24"/>
          <w:szCs w:val="24"/>
        </w:rPr>
      </w:pPr>
      <w:r>
        <w:rPr>
          <w:rFonts w:ascii="Arial" w:eastAsia="Arial" w:hAnsi="Arial" w:cs="Arial"/>
          <w:b/>
          <w:i/>
          <w:sz w:val="24"/>
          <w:szCs w:val="24"/>
        </w:rPr>
        <w:t>About Mental Health Reform</w:t>
      </w:r>
    </w:p>
    <w:p w14:paraId="6D1D500F" w14:textId="77777777" w:rsidR="003A222D" w:rsidRDefault="003A222D" w:rsidP="003A222D">
      <w:pPr>
        <w:rPr>
          <w:rFonts w:ascii="Arial" w:eastAsia="Arial" w:hAnsi="Arial" w:cs="Arial"/>
          <w:sz w:val="24"/>
          <w:szCs w:val="24"/>
        </w:rPr>
      </w:pPr>
      <w:r>
        <w:rPr>
          <w:rFonts w:ascii="Arial" w:eastAsia="Arial" w:hAnsi="Arial" w:cs="Arial"/>
          <w:sz w:val="24"/>
          <w:szCs w:val="24"/>
        </w:rPr>
        <w:t>Mental Health Reform (MHR) is the leading national coalition on mental health in Ireland. We have 77 member organisations, representing a broad range of interests, housing, disability, children’s rights, human rights, ethnic minorities and many others. MHR provides a unified voice campaigning for progressive reform of mental health services and supports in Ireland.</w:t>
      </w:r>
    </w:p>
    <w:p w14:paraId="189541B8" w14:textId="05EBECC8" w:rsidR="003A222D" w:rsidRDefault="009007CD" w:rsidP="003A222D">
      <w:pPr>
        <w:rPr>
          <w:rFonts w:ascii="Arial" w:eastAsia="Arial" w:hAnsi="Arial" w:cs="Arial"/>
          <w:b/>
          <w:i/>
          <w:sz w:val="24"/>
          <w:szCs w:val="24"/>
        </w:rPr>
      </w:pPr>
      <w:r>
        <w:rPr>
          <w:rFonts w:ascii="Arial" w:eastAsia="Arial" w:hAnsi="Arial" w:cs="Arial"/>
          <w:b/>
          <w:i/>
          <w:sz w:val="24"/>
          <w:szCs w:val="24"/>
        </w:rPr>
        <w:t>Aim of the Evaluation</w:t>
      </w:r>
    </w:p>
    <w:p w14:paraId="4C10A357" w14:textId="3453E2DA" w:rsidR="00C90D13" w:rsidRPr="00C90D13" w:rsidRDefault="00C90D13" w:rsidP="00C90D13">
      <w:pPr>
        <w:rPr>
          <w:rFonts w:ascii="Arial" w:eastAsia="Arial" w:hAnsi="Arial" w:cs="Arial"/>
          <w:sz w:val="24"/>
          <w:szCs w:val="24"/>
        </w:rPr>
      </w:pPr>
      <w:r w:rsidRPr="00C90D13">
        <w:rPr>
          <w:rFonts w:ascii="Arial" w:eastAsia="Arial" w:hAnsi="Arial" w:cs="Arial"/>
          <w:sz w:val="24"/>
          <w:szCs w:val="24"/>
        </w:rPr>
        <w:t>MHR is seeking tenders to design and conduct a process and outcome evaluation of a Cultural Competency Education Programme for HSE Community Mental Health services and staff.</w:t>
      </w:r>
      <w:r w:rsidR="009007CD">
        <w:rPr>
          <w:rFonts w:ascii="Arial" w:eastAsia="Arial" w:hAnsi="Arial" w:cs="Arial"/>
          <w:sz w:val="24"/>
          <w:szCs w:val="24"/>
        </w:rPr>
        <w:t xml:space="preserve"> Findings from the evaluation will inform the development of a toolkit for the implementation of cultural competency education for all HSE Community Mental Health services staff.</w:t>
      </w:r>
    </w:p>
    <w:p w14:paraId="70515233" w14:textId="77777777" w:rsidR="00627DA0" w:rsidRPr="00627DA0" w:rsidRDefault="00627DA0" w:rsidP="003A222D">
      <w:pPr>
        <w:rPr>
          <w:rFonts w:ascii="Arial" w:eastAsia="Arial" w:hAnsi="Arial" w:cs="Arial"/>
          <w:b/>
          <w:i/>
          <w:sz w:val="24"/>
          <w:szCs w:val="24"/>
        </w:rPr>
      </w:pPr>
      <w:r w:rsidRPr="00627DA0">
        <w:rPr>
          <w:rFonts w:ascii="Arial" w:eastAsia="Arial" w:hAnsi="Arial" w:cs="Arial"/>
          <w:b/>
          <w:i/>
          <w:sz w:val="24"/>
          <w:szCs w:val="24"/>
        </w:rPr>
        <w:t>Project overview</w:t>
      </w:r>
    </w:p>
    <w:p w14:paraId="7ACB6609" w14:textId="66E119C1" w:rsidR="003A222D" w:rsidRDefault="00627DA0" w:rsidP="003A222D">
      <w:pPr>
        <w:rPr>
          <w:rFonts w:ascii="Arial" w:eastAsia="Arial" w:hAnsi="Arial" w:cs="Arial"/>
          <w:sz w:val="24"/>
          <w:szCs w:val="24"/>
          <w:lang w:val="en-IE"/>
        </w:rPr>
      </w:pPr>
      <w:r>
        <w:rPr>
          <w:rFonts w:ascii="Arial" w:eastAsia="Arial" w:hAnsi="Arial" w:cs="Arial"/>
          <w:sz w:val="24"/>
          <w:szCs w:val="24"/>
          <w:lang w:val="en-IE"/>
        </w:rPr>
        <w:t>T</w:t>
      </w:r>
      <w:r w:rsidR="003A222D" w:rsidRPr="007B1141">
        <w:rPr>
          <w:rFonts w:ascii="Arial" w:eastAsia="Arial" w:hAnsi="Arial" w:cs="Arial"/>
          <w:sz w:val="24"/>
          <w:szCs w:val="24"/>
          <w:lang w:val="en-IE"/>
        </w:rPr>
        <w:t>his</w:t>
      </w:r>
      <w:r>
        <w:rPr>
          <w:rFonts w:ascii="Arial" w:eastAsia="Arial" w:hAnsi="Arial" w:cs="Arial"/>
          <w:sz w:val="24"/>
          <w:szCs w:val="24"/>
          <w:lang w:val="en-IE"/>
        </w:rPr>
        <w:t xml:space="preserve"> </w:t>
      </w:r>
      <w:r>
        <w:rPr>
          <w:rFonts w:ascii="Arial" w:eastAsia="Arial" w:hAnsi="Arial" w:cs="Arial"/>
          <w:sz w:val="24"/>
          <w:szCs w:val="24"/>
        </w:rPr>
        <w:t>Sláintecare Integration</w:t>
      </w:r>
      <w:r w:rsidR="003A222D" w:rsidRPr="007B1141">
        <w:rPr>
          <w:rFonts w:ascii="Arial" w:eastAsia="Arial" w:hAnsi="Arial" w:cs="Arial"/>
          <w:sz w:val="24"/>
          <w:szCs w:val="24"/>
          <w:lang w:val="en-IE"/>
        </w:rPr>
        <w:t xml:space="preserve"> project aims to adapt, pilot and evaluate a cultural competency </w:t>
      </w:r>
      <w:r w:rsidR="003A222D">
        <w:rPr>
          <w:rFonts w:ascii="Arial" w:eastAsia="Arial" w:hAnsi="Arial" w:cs="Arial"/>
          <w:sz w:val="24"/>
          <w:szCs w:val="24"/>
          <w:lang w:val="en-IE"/>
        </w:rPr>
        <w:t>education</w:t>
      </w:r>
      <w:r w:rsidR="003A222D" w:rsidRPr="007B1141">
        <w:rPr>
          <w:rFonts w:ascii="Arial" w:eastAsia="Arial" w:hAnsi="Arial" w:cs="Arial"/>
          <w:sz w:val="24"/>
          <w:szCs w:val="24"/>
          <w:lang w:val="en-IE"/>
        </w:rPr>
        <w:t xml:space="preserve"> programme </w:t>
      </w:r>
      <w:r w:rsidR="003A222D">
        <w:rPr>
          <w:rFonts w:ascii="Arial" w:eastAsia="Arial" w:hAnsi="Arial" w:cs="Arial"/>
          <w:sz w:val="24"/>
          <w:szCs w:val="24"/>
          <w:lang w:val="en-IE"/>
        </w:rPr>
        <w:t xml:space="preserve">to enhance cultural competency </w:t>
      </w:r>
      <w:r w:rsidR="003A222D" w:rsidRPr="007B1141">
        <w:rPr>
          <w:rFonts w:ascii="Arial" w:eastAsia="Arial" w:hAnsi="Arial" w:cs="Arial"/>
          <w:sz w:val="24"/>
          <w:szCs w:val="24"/>
          <w:lang w:val="en-IE"/>
        </w:rPr>
        <w:t xml:space="preserve">of staff </w:t>
      </w:r>
      <w:r w:rsidR="003A222D">
        <w:rPr>
          <w:rFonts w:ascii="Arial" w:eastAsia="Arial" w:hAnsi="Arial" w:cs="Arial"/>
          <w:sz w:val="24"/>
          <w:szCs w:val="24"/>
          <w:lang w:val="en-IE"/>
        </w:rPr>
        <w:t>working in HSE C</w:t>
      </w:r>
      <w:r w:rsidR="003A222D" w:rsidRPr="007B1141">
        <w:rPr>
          <w:rFonts w:ascii="Arial" w:eastAsia="Arial" w:hAnsi="Arial" w:cs="Arial"/>
          <w:sz w:val="24"/>
          <w:szCs w:val="24"/>
          <w:lang w:val="en-IE"/>
        </w:rPr>
        <w:t xml:space="preserve">ommunity </w:t>
      </w:r>
      <w:r w:rsidR="003A222D">
        <w:rPr>
          <w:rFonts w:ascii="Arial" w:eastAsia="Arial" w:hAnsi="Arial" w:cs="Arial"/>
          <w:sz w:val="24"/>
          <w:szCs w:val="24"/>
          <w:lang w:val="en-IE"/>
        </w:rPr>
        <w:t>M</w:t>
      </w:r>
      <w:r w:rsidR="003A222D" w:rsidRPr="007B1141">
        <w:rPr>
          <w:rFonts w:ascii="Arial" w:eastAsia="Arial" w:hAnsi="Arial" w:cs="Arial"/>
          <w:sz w:val="24"/>
          <w:szCs w:val="24"/>
          <w:lang w:val="en-IE"/>
        </w:rPr>
        <w:t xml:space="preserve">ental </w:t>
      </w:r>
      <w:r w:rsidR="003A222D">
        <w:rPr>
          <w:rFonts w:ascii="Arial" w:eastAsia="Arial" w:hAnsi="Arial" w:cs="Arial"/>
          <w:sz w:val="24"/>
          <w:szCs w:val="24"/>
          <w:lang w:val="en-IE"/>
        </w:rPr>
        <w:t>H</w:t>
      </w:r>
      <w:r w:rsidR="003A222D" w:rsidRPr="007B1141">
        <w:rPr>
          <w:rFonts w:ascii="Arial" w:eastAsia="Arial" w:hAnsi="Arial" w:cs="Arial"/>
          <w:sz w:val="24"/>
          <w:szCs w:val="24"/>
          <w:lang w:val="en-IE"/>
        </w:rPr>
        <w:t>ealth servi</w:t>
      </w:r>
      <w:r>
        <w:rPr>
          <w:rFonts w:ascii="Arial" w:eastAsia="Arial" w:hAnsi="Arial" w:cs="Arial"/>
          <w:sz w:val="24"/>
          <w:szCs w:val="24"/>
          <w:lang w:val="en-IE"/>
        </w:rPr>
        <w:t xml:space="preserve">ces. The </w:t>
      </w:r>
      <w:r w:rsidR="00CA07C6">
        <w:rPr>
          <w:rFonts w:ascii="Arial" w:eastAsia="Arial" w:hAnsi="Arial" w:cs="Arial"/>
          <w:sz w:val="24"/>
          <w:szCs w:val="24"/>
          <w:lang w:val="en-IE"/>
        </w:rPr>
        <w:t xml:space="preserve">project’s goal is to </w:t>
      </w:r>
      <w:r w:rsidR="003A222D">
        <w:rPr>
          <w:rFonts w:ascii="Arial" w:eastAsia="Arial" w:hAnsi="Arial" w:cs="Arial"/>
          <w:sz w:val="24"/>
          <w:szCs w:val="24"/>
          <w:lang w:val="en-IE"/>
        </w:rPr>
        <w:t>ensure that people</w:t>
      </w:r>
      <w:r w:rsidR="003A222D" w:rsidRPr="007B1141">
        <w:rPr>
          <w:rFonts w:ascii="Arial" w:eastAsia="Arial" w:hAnsi="Arial" w:cs="Arial"/>
          <w:sz w:val="24"/>
          <w:szCs w:val="24"/>
          <w:lang w:val="en-IE"/>
        </w:rPr>
        <w:t xml:space="preserve"> from ethnic minority communities receiv</w:t>
      </w:r>
      <w:r w:rsidR="003A222D">
        <w:rPr>
          <w:rFonts w:ascii="Arial" w:eastAsia="Arial" w:hAnsi="Arial" w:cs="Arial"/>
          <w:sz w:val="24"/>
          <w:szCs w:val="24"/>
          <w:lang w:val="en-IE"/>
        </w:rPr>
        <w:t xml:space="preserve">e </w:t>
      </w:r>
      <w:r w:rsidR="003A222D" w:rsidRPr="007B1141">
        <w:rPr>
          <w:rFonts w:ascii="Arial" w:eastAsia="Arial" w:hAnsi="Arial" w:cs="Arial"/>
          <w:sz w:val="24"/>
          <w:szCs w:val="24"/>
          <w:lang w:val="en-IE"/>
        </w:rPr>
        <w:t>mental health services and supports that adequately meet their needs</w:t>
      </w:r>
      <w:r w:rsidR="003A222D">
        <w:rPr>
          <w:rFonts w:ascii="Arial" w:eastAsia="Arial" w:hAnsi="Arial" w:cs="Arial"/>
          <w:sz w:val="24"/>
          <w:szCs w:val="24"/>
          <w:lang w:val="en-IE"/>
        </w:rPr>
        <w:t xml:space="preserve"> in a culturally competent and appropriate way.</w:t>
      </w:r>
    </w:p>
    <w:p w14:paraId="68165CAE" w14:textId="3AE3CB83" w:rsidR="003A222D" w:rsidRPr="00627DA0" w:rsidRDefault="00627DA0" w:rsidP="003A222D">
      <w:pPr>
        <w:rPr>
          <w:rFonts w:ascii="Arial" w:eastAsia="Arial" w:hAnsi="Arial" w:cs="Arial"/>
          <w:sz w:val="24"/>
          <w:szCs w:val="24"/>
          <w:lang w:val="en-IE"/>
        </w:rPr>
      </w:pPr>
      <w:r>
        <w:rPr>
          <w:rFonts w:ascii="Arial" w:eastAsia="Arial" w:hAnsi="Arial" w:cs="Arial"/>
          <w:sz w:val="24"/>
          <w:szCs w:val="24"/>
          <w:lang w:val="en-IE"/>
        </w:rPr>
        <w:t>The project is</w:t>
      </w:r>
      <w:r w:rsidR="00C773C0">
        <w:rPr>
          <w:rFonts w:ascii="Arial" w:eastAsia="Arial" w:hAnsi="Arial" w:cs="Arial"/>
          <w:sz w:val="24"/>
          <w:szCs w:val="24"/>
          <w:lang w:val="en-IE"/>
        </w:rPr>
        <w:t xml:space="preserve"> being implement with the Cabra</w:t>
      </w:r>
      <w:r>
        <w:rPr>
          <w:rFonts w:ascii="Arial" w:eastAsia="Arial" w:hAnsi="Arial" w:cs="Arial"/>
          <w:sz w:val="24"/>
          <w:szCs w:val="24"/>
          <w:lang w:val="en-IE"/>
        </w:rPr>
        <w:t xml:space="preserve"> CMHT and the programme has been developed by</w:t>
      </w:r>
      <w:r w:rsidRPr="007B1141">
        <w:rPr>
          <w:rFonts w:ascii="Arial" w:eastAsia="Arial" w:hAnsi="Arial" w:cs="Arial"/>
          <w:sz w:val="24"/>
          <w:szCs w:val="24"/>
          <w:lang w:val="en-IE"/>
        </w:rPr>
        <w:t xml:space="preserve"> Diversity Cymru </w:t>
      </w:r>
      <w:r w:rsidRPr="007B1141">
        <w:rPr>
          <w:rFonts w:ascii="Arial" w:eastAsia="Arial" w:hAnsi="Arial" w:cs="Arial"/>
          <w:sz w:val="24"/>
          <w:szCs w:val="24"/>
        </w:rPr>
        <w:t xml:space="preserve">(a Welsh Charity </w:t>
      </w:r>
      <w:r>
        <w:rPr>
          <w:rFonts w:ascii="Arial" w:eastAsia="Arial" w:hAnsi="Arial" w:cs="Arial"/>
          <w:sz w:val="24"/>
          <w:szCs w:val="24"/>
        </w:rPr>
        <w:t>which specialises in delivering</w:t>
      </w:r>
      <w:r w:rsidRPr="007B1141">
        <w:rPr>
          <w:rFonts w:ascii="Arial" w:eastAsia="Arial" w:hAnsi="Arial" w:cs="Arial"/>
          <w:sz w:val="24"/>
          <w:szCs w:val="24"/>
        </w:rPr>
        <w:t xml:space="preserve"> well-supported cultural competency educatio</w:t>
      </w:r>
      <w:r>
        <w:rPr>
          <w:rFonts w:ascii="Arial" w:eastAsia="Arial" w:hAnsi="Arial" w:cs="Arial"/>
          <w:sz w:val="24"/>
          <w:szCs w:val="24"/>
        </w:rPr>
        <w:t>n</w:t>
      </w:r>
      <w:r w:rsidRPr="007B1141">
        <w:rPr>
          <w:rFonts w:ascii="Arial" w:eastAsia="Arial" w:hAnsi="Arial" w:cs="Arial"/>
          <w:sz w:val="24"/>
          <w:szCs w:val="24"/>
        </w:rPr>
        <w:t xml:space="preserve"> for </w:t>
      </w:r>
      <w:r>
        <w:rPr>
          <w:rFonts w:ascii="Arial" w:eastAsia="Arial" w:hAnsi="Arial" w:cs="Arial"/>
          <w:sz w:val="24"/>
          <w:szCs w:val="24"/>
        </w:rPr>
        <w:t>UK health services staff)</w:t>
      </w:r>
      <w:r w:rsidRPr="007B1141">
        <w:rPr>
          <w:rFonts w:ascii="Arial" w:eastAsia="Arial" w:hAnsi="Arial" w:cs="Arial"/>
          <w:sz w:val="24"/>
          <w:szCs w:val="24"/>
        </w:rPr>
        <w:t xml:space="preserve"> </w:t>
      </w:r>
    </w:p>
    <w:p w14:paraId="3CEE7154" w14:textId="77777777" w:rsidR="003A222D" w:rsidRDefault="003A222D" w:rsidP="003A222D">
      <w:pPr>
        <w:rPr>
          <w:rFonts w:ascii="Arial" w:eastAsia="Arial" w:hAnsi="Arial" w:cs="Arial"/>
          <w:b/>
          <w:i/>
          <w:sz w:val="24"/>
          <w:szCs w:val="24"/>
        </w:rPr>
      </w:pPr>
      <w:r>
        <w:rPr>
          <w:rFonts w:ascii="Arial" w:eastAsia="Arial" w:hAnsi="Arial" w:cs="Arial"/>
          <w:b/>
          <w:i/>
          <w:sz w:val="24"/>
          <w:szCs w:val="24"/>
        </w:rPr>
        <w:t>Context</w:t>
      </w:r>
    </w:p>
    <w:p w14:paraId="227E6F7F" w14:textId="77777777" w:rsidR="003A222D" w:rsidRDefault="003A222D" w:rsidP="003A222D">
      <w:pPr>
        <w:rPr>
          <w:rFonts w:ascii="Arial" w:eastAsia="Arial" w:hAnsi="Arial" w:cs="Arial"/>
          <w:sz w:val="24"/>
          <w:szCs w:val="24"/>
        </w:rPr>
      </w:pPr>
      <w:r w:rsidRPr="00F10A1D">
        <w:rPr>
          <w:rFonts w:ascii="Arial" w:eastAsia="Arial" w:hAnsi="Arial" w:cs="Arial"/>
          <w:i/>
          <w:iCs/>
          <w:sz w:val="24"/>
          <w:szCs w:val="24"/>
        </w:rPr>
        <w:t>A Vision for Change</w:t>
      </w:r>
      <w:r>
        <w:rPr>
          <w:rFonts w:ascii="Arial" w:eastAsia="Arial" w:hAnsi="Arial" w:cs="Arial"/>
          <w:sz w:val="24"/>
          <w:szCs w:val="24"/>
        </w:rPr>
        <w:t xml:space="preserve"> and Ireland’s new national mental health policy framework, </w:t>
      </w:r>
      <w:r w:rsidRPr="00F10A1D">
        <w:rPr>
          <w:rFonts w:ascii="Arial" w:eastAsia="Arial" w:hAnsi="Arial" w:cs="Arial"/>
          <w:i/>
          <w:iCs/>
          <w:sz w:val="24"/>
          <w:szCs w:val="24"/>
        </w:rPr>
        <w:t>Sharing the Vision,</w:t>
      </w:r>
      <w:r>
        <w:rPr>
          <w:rFonts w:ascii="Arial" w:eastAsia="Arial" w:hAnsi="Arial" w:cs="Arial"/>
          <w:sz w:val="24"/>
          <w:szCs w:val="24"/>
        </w:rPr>
        <w:t xml:space="preserve"> both recognise that culturally appropriate services are important </w:t>
      </w:r>
      <w:r>
        <w:rPr>
          <w:rFonts w:ascii="Arial" w:eastAsia="Arial" w:hAnsi="Arial" w:cs="Arial"/>
          <w:sz w:val="24"/>
          <w:szCs w:val="24"/>
        </w:rPr>
        <w:lastRenderedPageBreak/>
        <w:t>for service users from diverse cultural and ethnic minority communities. These strategies recommend that:</w:t>
      </w:r>
    </w:p>
    <w:p w14:paraId="678815A7" w14:textId="77777777" w:rsidR="003A222D" w:rsidRDefault="003A222D" w:rsidP="00E92A33">
      <w:pPr>
        <w:jc w:val="center"/>
        <w:rPr>
          <w:rFonts w:ascii="Arial" w:eastAsia="Arial" w:hAnsi="Arial" w:cs="Arial"/>
          <w:sz w:val="24"/>
          <w:szCs w:val="24"/>
        </w:rPr>
      </w:pPr>
      <w:r>
        <w:rPr>
          <w:rFonts w:ascii="Arial" w:eastAsia="Arial" w:hAnsi="Arial" w:cs="Arial"/>
          <w:sz w:val="24"/>
          <w:szCs w:val="24"/>
        </w:rPr>
        <w:t xml:space="preserve">“Mental Health Services should be provided in a culturally sensitive manner. Training should be made available for mental health professionals in this regard and mental health services should be resourced to provide services to other ethnic groups including provision for interpreters (Recommendation 4.8)” </w:t>
      </w:r>
      <w:r>
        <w:rPr>
          <w:rFonts w:ascii="Arial" w:eastAsia="Arial" w:hAnsi="Arial" w:cs="Arial"/>
          <w:sz w:val="24"/>
          <w:szCs w:val="24"/>
          <w:vertAlign w:val="superscript"/>
        </w:rPr>
        <w:footnoteReference w:id="1"/>
      </w:r>
    </w:p>
    <w:p w14:paraId="6AB3A28C" w14:textId="77777777" w:rsidR="003A222D" w:rsidRDefault="003A222D" w:rsidP="00E92A33">
      <w:pPr>
        <w:jc w:val="center"/>
        <w:rPr>
          <w:rFonts w:ascii="Arial" w:hAnsi="Arial" w:cs="Arial"/>
          <w:sz w:val="24"/>
          <w:szCs w:val="24"/>
        </w:rPr>
      </w:pPr>
      <w:r>
        <w:rPr>
          <w:rFonts w:ascii="Arial" w:hAnsi="Arial" w:cs="Arial"/>
          <w:sz w:val="24"/>
          <w:szCs w:val="24"/>
        </w:rPr>
        <w:t>“</w:t>
      </w:r>
      <w:r w:rsidRPr="00C73A93">
        <w:rPr>
          <w:rFonts w:ascii="Arial" w:hAnsi="Arial" w:cs="Arial"/>
          <w:sz w:val="24"/>
          <w:szCs w:val="24"/>
        </w:rPr>
        <w:t>The HSE should maximise the delivery of diverse and culturally competent mental health supports throughout all services</w:t>
      </w:r>
      <w:r>
        <w:rPr>
          <w:rFonts w:ascii="Arial" w:hAnsi="Arial" w:cs="Arial"/>
          <w:sz w:val="24"/>
          <w:szCs w:val="24"/>
        </w:rPr>
        <w:t xml:space="preserve"> (Recommendation 61) “</w:t>
      </w:r>
      <w:r>
        <w:rPr>
          <w:rStyle w:val="FootnoteReference"/>
          <w:rFonts w:ascii="Arial" w:hAnsi="Arial" w:cs="Arial"/>
          <w:sz w:val="24"/>
          <w:szCs w:val="24"/>
        </w:rPr>
        <w:footnoteReference w:id="2"/>
      </w:r>
    </w:p>
    <w:p w14:paraId="086FD0DF" w14:textId="77777777" w:rsidR="003A222D" w:rsidRDefault="003A222D" w:rsidP="003A222D">
      <w:pPr>
        <w:rPr>
          <w:rFonts w:ascii="Arial" w:eastAsia="Arial" w:hAnsi="Arial" w:cs="Arial"/>
          <w:sz w:val="24"/>
          <w:szCs w:val="24"/>
        </w:rPr>
      </w:pPr>
      <w:r>
        <w:rPr>
          <w:rFonts w:ascii="Arial" w:eastAsia="Arial" w:hAnsi="Arial" w:cs="Arial"/>
          <w:sz w:val="24"/>
          <w:szCs w:val="24"/>
        </w:rPr>
        <w:t>However there has been little implementation of these recommendations to date.</w:t>
      </w:r>
    </w:p>
    <w:p w14:paraId="44AC9FBA" w14:textId="77777777" w:rsidR="003A222D" w:rsidRDefault="003A222D" w:rsidP="003A222D">
      <w:pPr>
        <w:rPr>
          <w:rFonts w:ascii="Arial" w:eastAsia="Arial" w:hAnsi="Arial" w:cs="Arial"/>
          <w:sz w:val="24"/>
          <w:szCs w:val="24"/>
        </w:rPr>
      </w:pPr>
      <w:r>
        <w:rPr>
          <w:rFonts w:ascii="Arial" w:eastAsia="Arial" w:hAnsi="Arial" w:cs="Arial"/>
          <w:sz w:val="24"/>
          <w:szCs w:val="24"/>
        </w:rPr>
        <w:t xml:space="preserve">Between October 2012 and April 2013, MHR convened a series of consultation meetings with representatives from black and minority ethnic (BME) community organisations. Key issues identified in these meetings included:  </w:t>
      </w:r>
    </w:p>
    <w:p w14:paraId="2D787C90" w14:textId="77777777" w:rsidR="003A222D" w:rsidRDefault="003A222D" w:rsidP="003A222D">
      <w:pPr>
        <w:pStyle w:val="ListParagraph"/>
        <w:numPr>
          <w:ilvl w:val="0"/>
          <w:numId w:val="4"/>
        </w:numPr>
        <w:rPr>
          <w:rFonts w:ascii="Arial" w:eastAsia="Arial" w:hAnsi="Arial" w:cs="Arial"/>
          <w:sz w:val="24"/>
          <w:szCs w:val="24"/>
        </w:rPr>
      </w:pPr>
      <w:r>
        <w:rPr>
          <w:rFonts w:ascii="Arial" w:eastAsia="Arial" w:hAnsi="Arial" w:cs="Arial"/>
          <w:sz w:val="24"/>
          <w:szCs w:val="24"/>
        </w:rPr>
        <w:t>c</w:t>
      </w:r>
      <w:r w:rsidRPr="00F92799">
        <w:rPr>
          <w:rFonts w:ascii="Arial" w:eastAsia="Arial" w:hAnsi="Arial" w:cs="Arial"/>
          <w:sz w:val="24"/>
          <w:szCs w:val="24"/>
        </w:rPr>
        <w:t>urrent policy docu</w:t>
      </w:r>
      <w:r>
        <w:rPr>
          <w:rFonts w:ascii="Arial" w:eastAsia="Arial" w:hAnsi="Arial" w:cs="Arial"/>
          <w:sz w:val="24"/>
          <w:szCs w:val="24"/>
        </w:rPr>
        <w:t>me</w:t>
      </w:r>
      <w:r w:rsidRPr="00F92799">
        <w:rPr>
          <w:rFonts w:ascii="Arial" w:eastAsia="Arial" w:hAnsi="Arial" w:cs="Arial"/>
          <w:sz w:val="24"/>
          <w:szCs w:val="24"/>
        </w:rPr>
        <w:t>nts were weak on policy</w:t>
      </w:r>
      <w:r>
        <w:rPr>
          <w:rFonts w:ascii="Arial" w:eastAsia="Arial" w:hAnsi="Arial" w:cs="Arial"/>
          <w:sz w:val="24"/>
          <w:szCs w:val="24"/>
        </w:rPr>
        <w:t xml:space="preserve"> about cultural sensitivity </w:t>
      </w:r>
    </w:p>
    <w:p w14:paraId="024F5990" w14:textId="77777777" w:rsidR="003A222D" w:rsidRDefault="003A222D" w:rsidP="003A222D">
      <w:pPr>
        <w:pStyle w:val="ListParagraph"/>
        <w:rPr>
          <w:rFonts w:ascii="Arial" w:eastAsia="Arial" w:hAnsi="Arial" w:cs="Arial"/>
          <w:sz w:val="24"/>
          <w:szCs w:val="24"/>
        </w:rPr>
      </w:pPr>
    </w:p>
    <w:p w14:paraId="392B9419" w14:textId="1A81F6B3" w:rsidR="003A222D" w:rsidRPr="00F92799" w:rsidRDefault="003A222D" w:rsidP="003A222D">
      <w:pPr>
        <w:pStyle w:val="ListParagraph"/>
        <w:numPr>
          <w:ilvl w:val="0"/>
          <w:numId w:val="4"/>
        </w:numPr>
        <w:rPr>
          <w:rFonts w:ascii="Arial" w:eastAsia="Arial" w:hAnsi="Arial" w:cs="Arial"/>
          <w:sz w:val="24"/>
          <w:szCs w:val="24"/>
        </w:rPr>
      </w:pPr>
      <w:r>
        <w:rPr>
          <w:rFonts w:ascii="Arial" w:eastAsia="Arial" w:hAnsi="Arial" w:cs="Arial"/>
          <w:sz w:val="24"/>
          <w:szCs w:val="24"/>
        </w:rPr>
        <w:t xml:space="preserve">the </w:t>
      </w:r>
      <w:r w:rsidRPr="00F92799">
        <w:rPr>
          <w:rFonts w:ascii="Arial" w:eastAsia="Arial" w:hAnsi="Arial" w:cs="Arial"/>
          <w:sz w:val="24"/>
          <w:szCs w:val="24"/>
        </w:rPr>
        <w:t xml:space="preserve">need </w:t>
      </w:r>
      <w:r w:rsidR="00CB104C">
        <w:rPr>
          <w:rFonts w:ascii="Arial" w:eastAsia="Arial" w:hAnsi="Arial" w:cs="Arial"/>
          <w:sz w:val="24"/>
          <w:szCs w:val="24"/>
        </w:rPr>
        <w:t>to introduce</w:t>
      </w:r>
      <w:r w:rsidRPr="00F92799">
        <w:rPr>
          <w:rFonts w:ascii="Arial" w:eastAsia="Arial" w:hAnsi="Arial" w:cs="Arial"/>
          <w:sz w:val="24"/>
          <w:szCs w:val="24"/>
        </w:rPr>
        <w:t xml:space="preserve"> cultural competency training </w:t>
      </w:r>
      <w:r w:rsidR="00CB104C">
        <w:rPr>
          <w:rFonts w:ascii="Arial" w:eastAsia="Arial" w:hAnsi="Arial" w:cs="Arial"/>
          <w:sz w:val="24"/>
          <w:szCs w:val="24"/>
        </w:rPr>
        <w:t>for mental health services staff to help ensure that ethnic minority mental health service users have access to culturally sensitive services that adequately meet their needs</w:t>
      </w:r>
      <w:r>
        <w:rPr>
          <w:vertAlign w:val="superscript"/>
        </w:rPr>
        <w:footnoteReference w:id="3"/>
      </w:r>
      <w:r w:rsidRPr="00F92799">
        <w:rPr>
          <w:rFonts w:ascii="Arial" w:eastAsia="Arial" w:hAnsi="Arial" w:cs="Arial"/>
          <w:sz w:val="24"/>
          <w:szCs w:val="24"/>
        </w:rPr>
        <w:t xml:space="preserve"> </w:t>
      </w:r>
    </w:p>
    <w:p w14:paraId="4B707C19" w14:textId="77777777" w:rsidR="009007CD" w:rsidRDefault="003A222D" w:rsidP="003A222D">
      <w:pPr>
        <w:rPr>
          <w:rFonts w:ascii="Arial" w:eastAsia="Arial" w:hAnsi="Arial" w:cs="Arial"/>
          <w:sz w:val="24"/>
          <w:szCs w:val="24"/>
        </w:rPr>
      </w:pPr>
      <w:r>
        <w:rPr>
          <w:rFonts w:ascii="Arial" w:eastAsia="Arial" w:hAnsi="Arial" w:cs="Arial"/>
          <w:sz w:val="24"/>
          <w:szCs w:val="24"/>
        </w:rPr>
        <w:t xml:space="preserve">In response to these issues, and with support of </w:t>
      </w:r>
      <w:r w:rsidRPr="00F92799">
        <w:rPr>
          <w:rFonts w:ascii="Arial" w:eastAsia="Arial" w:hAnsi="Arial" w:cs="Arial"/>
          <w:sz w:val="24"/>
          <w:szCs w:val="24"/>
        </w:rPr>
        <w:t>the</w:t>
      </w:r>
      <w:r>
        <w:rPr>
          <w:rFonts w:ascii="Arial" w:eastAsia="Arial" w:hAnsi="Arial" w:cs="Arial"/>
          <w:sz w:val="24"/>
          <w:szCs w:val="24"/>
        </w:rPr>
        <w:t xml:space="preserve"> Mental Health Commission, MHR developed and </w:t>
      </w:r>
      <w:r w:rsidRPr="00F92799">
        <w:rPr>
          <w:rFonts w:ascii="Arial" w:eastAsia="Arial" w:hAnsi="Arial" w:cs="Arial"/>
          <w:sz w:val="24"/>
          <w:szCs w:val="24"/>
        </w:rPr>
        <w:t>published guidelines for mental health services and staff on working with people from ethnic minority communities.</w:t>
      </w:r>
      <w:r>
        <w:rPr>
          <w:vertAlign w:val="superscript"/>
        </w:rPr>
        <w:footnoteReference w:id="4"/>
      </w:r>
      <w:r w:rsidRPr="00F92799">
        <w:rPr>
          <w:rFonts w:ascii="Arial" w:eastAsia="Arial" w:hAnsi="Arial" w:cs="Arial"/>
          <w:sz w:val="24"/>
          <w:szCs w:val="24"/>
        </w:rPr>
        <w:t xml:space="preserve"> </w:t>
      </w:r>
      <w:r>
        <w:rPr>
          <w:rFonts w:ascii="Arial" w:eastAsia="Arial" w:hAnsi="Arial" w:cs="Arial"/>
          <w:sz w:val="24"/>
          <w:szCs w:val="24"/>
        </w:rPr>
        <w:t xml:space="preserve">Building on the guidelines published in 2016, </w:t>
      </w:r>
      <w:r w:rsidR="007B041E">
        <w:rPr>
          <w:rFonts w:ascii="Arial" w:eastAsia="Arial" w:hAnsi="Arial" w:cs="Arial"/>
          <w:sz w:val="24"/>
          <w:szCs w:val="24"/>
        </w:rPr>
        <w:t xml:space="preserve">the project </w:t>
      </w:r>
      <w:r>
        <w:rPr>
          <w:rFonts w:ascii="Arial" w:eastAsia="Arial" w:hAnsi="Arial" w:cs="Arial"/>
          <w:sz w:val="24"/>
          <w:szCs w:val="24"/>
        </w:rPr>
        <w:t xml:space="preserve">will adapt and pilot a cultural competency education programme for HSE Community Mental Health services and staff. </w:t>
      </w:r>
    </w:p>
    <w:p w14:paraId="3DE13C52" w14:textId="0973EB73" w:rsidR="003A222D" w:rsidRDefault="003A222D" w:rsidP="003A222D">
      <w:pPr>
        <w:rPr>
          <w:rFonts w:ascii="Arial" w:eastAsia="Arial" w:hAnsi="Arial" w:cs="Arial"/>
          <w:sz w:val="24"/>
          <w:szCs w:val="24"/>
        </w:rPr>
      </w:pPr>
      <w:r>
        <w:rPr>
          <w:rFonts w:ascii="Arial" w:eastAsia="Arial" w:hAnsi="Arial" w:cs="Arial"/>
          <w:sz w:val="24"/>
          <w:szCs w:val="24"/>
        </w:rPr>
        <w:t xml:space="preserve">The successful applicant will independently evaluate both the process and outcomes of the piloting of this cultural competency programme. </w:t>
      </w:r>
    </w:p>
    <w:p w14:paraId="04D3FB3F" w14:textId="77777777" w:rsidR="003A222D" w:rsidRDefault="003A222D" w:rsidP="003A222D">
      <w:pPr>
        <w:rPr>
          <w:rFonts w:ascii="Arial" w:eastAsia="Arial" w:hAnsi="Arial" w:cs="Arial"/>
          <w:b/>
          <w:i/>
          <w:sz w:val="24"/>
          <w:szCs w:val="24"/>
        </w:rPr>
      </w:pPr>
      <w:r>
        <w:rPr>
          <w:rFonts w:ascii="Arial" w:eastAsia="Arial" w:hAnsi="Arial" w:cs="Arial"/>
          <w:b/>
          <w:i/>
          <w:sz w:val="24"/>
          <w:szCs w:val="24"/>
        </w:rPr>
        <w:t>Evaluation Methodology</w:t>
      </w:r>
    </w:p>
    <w:p w14:paraId="535A511D" w14:textId="77777777" w:rsidR="003A222D" w:rsidRDefault="003A222D" w:rsidP="003A222D">
      <w:pPr>
        <w:rPr>
          <w:rFonts w:ascii="Arial" w:eastAsia="Arial" w:hAnsi="Arial" w:cs="Arial"/>
          <w:sz w:val="24"/>
          <w:szCs w:val="24"/>
        </w:rPr>
      </w:pPr>
      <w:bookmarkStart w:id="0" w:name="_heading=h.gjdgxs" w:colFirst="0" w:colLast="0"/>
      <w:bookmarkEnd w:id="0"/>
      <w:r>
        <w:rPr>
          <w:rFonts w:ascii="Arial" w:eastAsia="Arial" w:hAnsi="Arial" w:cs="Arial"/>
          <w:sz w:val="24"/>
          <w:szCs w:val="24"/>
        </w:rPr>
        <w:t>The design of the evaluation is to be proposed by applicants as part of their tender submission. However, MHR expect that data will be gathered from key stakeholders (trainers and Community Mental Health Team members) and that aspects of a pre-training survey of Community Mental Health Team members (conducted by MHR) will be incorporated to facilitate pre-post training comparisons.</w:t>
      </w:r>
    </w:p>
    <w:p w14:paraId="4AE6AC56" w14:textId="4485D9A3" w:rsidR="003A222D" w:rsidRDefault="003A222D" w:rsidP="003A222D">
      <w:pPr>
        <w:rPr>
          <w:rFonts w:ascii="Arial" w:eastAsia="Arial" w:hAnsi="Arial" w:cs="Arial"/>
          <w:b/>
          <w:i/>
          <w:sz w:val="24"/>
          <w:szCs w:val="24"/>
        </w:rPr>
      </w:pPr>
      <w:r>
        <w:rPr>
          <w:rFonts w:ascii="Arial" w:eastAsia="Arial" w:hAnsi="Arial" w:cs="Arial"/>
          <w:b/>
          <w:i/>
          <w:sz w:val="24"/>
          <w:szCs w:val="24"/>
        </w:rPr>
        <w:t>De</w:t>
      </w:r>
      <w:r w:rsidR="00CB104C">
        <w:rPr>
          <w:rFonts w:ascii="Arial" w:eastAsia="Arial" w:hAnsi="Arial" w:cs="Arial"/>
          <w:b/>
          <w:i/>
          <w:sz w:val="24"/>
          <w:szCs w:val="24"/>
        </w:rPr>
        <w:t>liverable</w:t>
      </w:r>
    </w:p>
    <w:p w14:paraId="0E6E412D" w14:textId="77777777" w:rsidR="003A222D" w:rsidRDefault="003A222D" w:rsidP="003A222D">
      <w:pPr>
        <w:rPr>
          <w:rFonts w:ascii="Arial" w:eastAsia="Arial" w:hAnsi="Arial" w:cs="Arial"/>
          <w:sz w:val="24"/>
          <w:szCs w:val="24"/>
        </w:rPr>
      </w:pPr>
      <w:r>
        <w:rPr>
          <w:rFonts w:ascii="Arial" w:eastAsia="Arial" w:hAnsi="Arial" w:cs="Arial"/>
          <w:sz w:val="24"/>
          <w:szCs w:val="24"/>
        </w:rPr>
        <w:t xml:space="preserve">A high quality report of publishable standard outlining the findings of a process and outcome evaluation of Diverse Cymru’s Cultural Competency Education Programme adapted for use in Ireland is the deliverable. Note that the successful applicant(s) will </w:t>
      </w:r>
      <w:r>
        <w:rPr>
          <w:rFonts w:ascii="Arial" w:eastAsia="Arial" w:hAnsi="Arial" w:cs="Arial"/>
          <w:sz w:val="24"/>
          <w:szCs w:val="24"/>
        </w:rPr>
        <w:lastRenderedPageBreak/>
        <w:t>be required to submit at least two drafts of the report in advance of final submission, and edit according to feedback from the project Steering Group.</w:t>
      </w:r>
    </w:p>
    <w:p w14:paraId="36C71E56" w14:textId="49496C16" w:rsidR="003A222D" w:rsidRDefault="003A222D" w:rsidP="003A222D">
      <w:pPr>
        <w:rPr>
          <w:rFonts w:ascii="Arial" w:eastAsia="Arial" w:hAnsi="Arial" w:cs="Arial"/>
          <w:b/>
          <w:i/>
          <w:sz w:val="24"/>
          <w:szCs w:val="24"/>
        </w:rPr>
      </w:pPr>
      <w:r>
        <w:rPr>
          <w:rFonts w:ascii="Arial" w:eastAsia="Arial" w:hAnsi="Arial" w:cs="Arial"/>
          <w:b/>
          <w:i/>
          <w:sz w:val="24"/>
          <w:szCs w:val="24"/>
        </w:rPr>
        <w:t>Indicative Timeframe</w:t>
      </w:r>
      <w:r w:rsidR="00AF6621">
        <w:rPr>
          <w:rFonts w:ascii="Arial" w:eastAsia="Arial" w:hAnsi="Arial" w:cs="Arial"/>
          <w:b/>
          <w:i/>
          <w:sz w:val="24"/>
          <w:szCs w:val="24"/>
        </w:rPr>
        <w:t xml:space="preserve"> and Budget</w:t>
      </w:r>
    </w:p>
    <w:p w14:paraId="20C46608" w14:textId="5F4F19A4" w:rsidR="00AF6621" w:rsidRPr="00AF6621" w:rsidRDefault="00AF6621" w:rsidP="003A222D">
      <w:pPr>
        <w:rPr>
          <w:rFonts w:ascii="Arial" w:eastAsia="Arial" w:hAnsi="Arial" w:cs="Arial"/>
          <w:sz w:val="24"/>
          <w:szCs w:val="24"/>
        </w:rPr>
      </w:pPr>
      <w:r>
        <w:rPr>
          <w:rFonts w:ascii="Arial" w:eastAsia="Arial" w:hAnsi="Arial" w:cs="Arial"/>
          <w:sz w:val="24"/>
          <w:szCs w:val="24"/>
        </w:rPr>
        <w:t>This evaluation will take place over a three month period, expected to begin no later than the 22</w:t>
      </w:r>
      <w:r w:rsidRPr="00CB104C">
        <w:rPr>
          <w:rFonts w:ascii="Arial" w:eastAsia="Arial" w:hAnsi="Arial" w:cs="Arial"/>
          <w:sz w:val="24"/>
          <w:szCs w:val="24"/>
          <w:vertAlign w:val="superscript"/>
        </w:rPr>
        <w:t>nd</w:t>
      </w:r>
      <w:r>
        <w:rPr>
          <w:rFonts w:ascii="Arial" w:eastAsia="Arial" w:hAnsi="Arial" w:cs="Arial"/>
          <w:sz w:val="24"/>
          <w:szCs w:val="24"/>
        </w:rPr>
        <w:t xml:space="preserve"> of March 2021. </w:t>
      </w:r>
      <w:r w:rsidRPr="00DE4834">
        <w:rPr>
          <w:rFonts w:ascii="Arial" w:eastAsia="Arial" w:hAnsi="Arial" w:cs="Arial"/>
          <w:sz w:val="24"/>
          <w:szCs w:val="24"/>
        </w:rPr>
        <w:t>The maximum budget for this evaluation is €1</w:t>
      </w:r>
      <w:r>
        <w:rPr>
          <w:rFonts w:ascii="Arial" w:eastAsia="Arial" w:hAnsi="Arial" w:cs="Arial"/>
          <w:sz w:val="24"/>
          <w:szCs w:val="24"/>
        </w:rPr>
        <w:t>5,000.</w:t>
      </w:r>
      <w:r w:rsidRPr="00DE4834">
        <w:rPr>
          <w:rFonts w:ascii="Arial" w:eastAsia="Arial" w:hAnsi="Arial" w:cs="Arial"/>
          <w:sz w:val="24"/>
          <w:szCs w:val="24"/>
        </w:rPr>
        <w:t xml:space="preserve"> MHR will not automatically select the most economically attractive tender, but will consider the breakdown of tasks and time allocation in its selection process.</w:t>
      </w:r>
    </w:p>
    <w:p w14:paraId="276D96E9" w14:textId="77777777" w:rsidR="003A222D" w:rsidRDefault="003A222D" w:rsidP="003A222D">
      <w:pPr>
        <w:rPr>
          <w:rFonts w:ascii="Arial" w:eastAsia="Arial" w:hAnsi="Arial" w:cs="Arial"/>
          <w:b/>
          <w:i/>
          <w:sz w:val="24"/>
          <w:szCs w:val="24"/>
        </w:rPr>
      </w:pPr>
      <w:r>
        <w:rPr>
          <w:rFonts w:ascii="Arial" w:eastAsia="Arial" w:hAnsi="Arial" w:cs="Arial"/>
          <w:b/>
          <w:i/>
          <w:sz w:val="24"/>
          <w:szCs w:val="24"/>
        </w:rPr>
        <w:t xml:space="preserve">Requirements </w:t>
      </w:r>
    </w:p>
    <w:p w14:paraId="324337B2" w14:textId="77777777" w:rsidR="003A222D" w:rsidRDefault="003A222D" w:rsidP="003A222D">
      <w:pPr>
        <w:rPr>
          <w:rFonts w:ascii="Arial" w:eastAsia="Arial" w:hAnsi="Arial" w:cs="Arial"/>
          <w:sz w:val="24"/>
          <w:szCs w:val="24"/>
        </w:rPr>
      </w:pPr>
      <w:r>
        <w:rPr>
          <w:rFonts w:ascii="Arial" w:eastAsia="Arial" w:hAnsi="Arial" w:cs="Arial"/>
          <w:sz w:val="24"/>
          <w:szCs w:val="24"/>
        </w:rPr>
        <w:t xml:space="preserve">Successful applicants should have the following: </w:t>
      </w:r>
    </w:p>
    <w:p w14:paraId="57BC7357"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 xml:space="preserve">Postgraduate degree in a relevant discipline; </w:t>
      </w:r>
    </w:p>
    <w:p w14:paraId="73A1BBFA"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Knowledge of mental health services and policies in the Irish context;</w:t>
      </w:r>
    </w:p>
    <w:p w14:paraId="1EB54AD3"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Experience using a range of research methods, including evaluation research methods, desk-based research and qualitative and quantitative research methods;</w:t>
      </w:r>
    </w:p>
    <w:p w14:paraId="2C0454CC" w14:textId="77777777" w:rsidR="003A222D" w:rsidRDefault="003A222D" w:rsidP="003A222D">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Knowledge and experience of working with multi-agency steering groups and stakeholders;</w:t>
      </w:r>
    </w:p>
    <w:p w14:paraId="3D35EF46"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Experience in the maintenance of detailed, accurate and fully evidenced time-keeping records;</w:t>
      </w:r>
    </w:p>
    <w:p w14:paraId="5929301D"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Experience in producing high quality evaluation research reports to publishable standard;</w:t>
      </w:r>
    </w:p>
    <w:p w14:paraId="1C27A0A7" w14:textId="77777777" w:rsidR="003A222D" w:rsidRDefault="003A222D" w:rsidP="003A222D">
      <w:pPr>
        <w:numPr>
          <w:ilvl w:val="0"/>
          <w:numId w:val="1"/>
        </w:numPr>
        <w:rPr>
          <w:rFonts w:ascii="Arial" w:eastAsia="Arial" w:hAnsi="Arial" w:cs="Arial"/>
          <w:sz w:val="24"/>
          <w:szCs w:val="24"/>
        </w:rPr>
      </w:pPr>
      <w:r>
        <w:rPr>
          <w:rFonts w:ascii="Arial" w:eastAsia="Arial" w:hAnsi="Arial" w:cs="Arial"/>
          <w:sz w:val="24"/>
          <w:szCs w:val="24"/>
        </w:rPr>
        <w:t>Exceptional attention to detail and ability to adhere to strict reporting and budgetary requirements.</w:t>
      </w:r>
    </w:p>
    <w:p w14:paraId="374AF186" w14:textId="77777777" w:rsidR="003A222D" w:rsidRDefault="003A222D" w:rsidP="003A222D">
      <w:pPr>
        <w:rPr>
          <w:rFonts w:ascii="Arial" w:eastAsia="Arial" w:hAnsi="Arial" w:cs="Arial"/>
          <w:b/>
          <w:i/>
          <w:sz w:val="24"/>
          <w:szCs w:val="24"/>
        </w:rPr>
      </w:pPr>
      <w:r>
        <w:rPr>
          <w:rFonts w:ascii="Arial" w:eastAsia="Arial" w:hAnsi="Arial" w:cs="Arial"/>
          <w:b/>
          <w:i/>
          <w:sz w:val="24"/>
          <w:szCs w:val="24"/>
        </w:rPr>
        <w:t>Tender Process </w:t>
      </w:r>
    </w:p>
    <w:p w14:paraId="512066C3" w14:textId="77777777" w:rsidR="003A222D" w:rsidRDefault="003A222D" w:rsidP="003A222D">
      <w:pPr>
        <w:rPr>
          <w:rFonts w:ascii="Arial" w:eastAsia="Arial" w:hAnsi="Arial" w:cs="Arial"/>
          <w:sz w:val="24"/>
          <w:szCs w:val="24"/>
        </w:rPr>
      </w:pPr>
      <w:r>
        <w:rPr>
          <w:rFonts w:ascii="Arial" w:eastAsia="Arial" w:hAnsi="Arial" w:cs="Arial"/>
          <w:sz w:val="24"/>
          <w:szCs w:val="24"/>
        </w:rPr>
        <w:t xml:space="preserve">Tendering organisations or individuals must submit a tender document. Each tender should use the following format: </w:t>
      </w:r>
    </w:p>
    <w:p w14:paraId="631332CF" w14:textId="77777777" w:rsidR="003A222D" w:rsidRDefault="003A222D" w:rsidP="003A222D">
      <w:pPr>
        <w:numPr>
          <w:ilvl w:val="0"/>
          <w:numId w:val="2"/>
        </w:numPr>
        <w:rPr>
          <w:rFonts w:ascii="Arial" w:eastAsia="Arial" w:hAnsi="Arial" w:cs="Arial"/>
          <w:sz w:val="24"/>
          <w:szCs w:val="24"/>
        </w:rPr>
      </w:pPr>
      <w:r>
        <w:rPr>
          <w:rFonts w:ascii="Arial" w:eastAsia="Arial" w:hAnsi="Arial" w:cs="Arial"/>
          <w:sz w:val="24"/>
          <w:szCs w:val="24"/>
        </w:rPr>
        <w:t>A description of the proposed methodology to be used to carry out this research;</w:t>
      </w:r>
    </w:p>
    <w:p w14:paraId="72912595" w14:textId="77777777" w:rsidR="003A222D" w:rsidRDefault="003A222D" w:rsidP="003A222D">
      <w:pPr>
        <w:numPr>
          <w:ilvl w:val="0"/>
          <w:numId w:val="2"/>
        </w:numPr>
        <w:rPr>
          <w:rFonts w:ascii="Arial" w:eastAsia="Arial" w:hAnsi="Arial" w:cs="Arial"/>
          <w:sz w:val="24"/>
          <w:szCs w:val="24"/>
        </w:rPr>
      </w:pPr>
      <w:r>
        <w:rPr>
          <w:rFonts w:ascii="Arial" w:eastAsia="Arial" w:hAnsi="Arial" w:cs="Arial"/>
          <w:sz w:val="24"/>
          <w:szCs w:val="24"/>
        </w:rPr>
        <w:t>A detailed breakdown of costs, a project resource plan and timeline with respect to each element of the proposed work</w:t>
      </w:r>
    </w:p>
    <w:p w14:paraId="455BC508" w14:textId="77777777" w:rsidR="003A222D" w:rsidRDefault="003A222D" w:rsidP="003A222D">
      <w:pPr>
        <w:numPr>
          <w:ilvl w:val="0"/>
          <w:numId w:val="2"/>
        </w:numPr>
        <w:rPr>
          <w:rFonts w:ascii="Arial" w:eastAsia="Arial" w:hAnsi="Arial" w:cs="Arial"/>
          <w:sz w:val="24"/>
          <w:szCs w:val="24"/>
        </w:rPr>
      </w:pPr>
      <w:r>
        <w:rPr>
          <w:rFonts w:ascii="Arial" w:eastAsia="Arial" w:hAnsi="Arial" w:cs="Arial"/>
          <w:sz w:val="24"/>
          <w:szCs w:val="24"/>
        </w:rPr>
        <w:t>Details of previous experience in using relevant methodologies;</w:t>
      </w:r>
    </w:p>
    <w:p w14:paraId="6CA2A024" w14:textId="77777777" w:rsidR="003A222D" w:rsidRDefault="003A222D" w:rsidP="003A222D">
      <w:pPr>
        <w:numPr>
          <w:ilvl w:val="0"/>
          <w:numId w:val="2"/>
        </w:numPr>
        <w:rPr>
          <w:rFonts w:ascii="Arial" w:eastAsia="Arial" w:hAnsi="Arial" w:cs="Arial"/>
          <w:sz w:val="24"/>
          <w:szCs w:val="24"/>
        </w:rPr>
      </w:pPr>
      <w:r>
        <w:rPr>
          <w:rFonts w:ascii="Arial" w:eastAsia="Arial" w:hAnsi="Arial" w:cs="Arial"/>
          <w:sz w:val="24"/>
          <w:szCs w:val="24"/>
        </w:rPr>
        <w:t>A profile or CV of the organisation or individual making the proposal;</w:t>
      </w:r>
    </w:p>
    <w:p w14:paraId="35E675EC" w14:textId="77777777" w:rsidR="003A222D" w:rsidRPr="00457F4E" w:rsidRDefault="003A222D" w:rsidP="003A222D">
      <w:pPr>
        <w:numPr>
          <w:ilvl w:val="0"/>
          <w:numId w:val="2"/>
        </w:numPr>
        <w:rPr>
          <w:rFonts w:ascii="Arial" w:eastAsia="Arial" w:hAnsi="Arial" w:cs="Arial"/>
          <w:b/>
          <w:i/>
          <w:sz w:val="24"/>
          <w:szCs w:val="24"/>
        </w:rPr>
      </w:pPr>
      <w:r>
        <w:rPr>
          <w:rFonts w:ascii="Arial" w:eastAsia="Arial" w:hAnsi="Arial" w:cs="Arial"/>
          <w:sz w:val="24"/>
          <w:szCs w:val="24"/>
        </w:rPr>
        <w:t xml:space="preserve">Samples of previous relevant work and contact details of clients </w:t>
      </w:r>
    </w:p>
    <w:p w14:paraId="6546A77D" w14:textId="77777777" w:rsidR="003A222D" w:rsidRDefault="003A222D" w:rsidP="003A222D">
      <w:pPr>
        <w:rPr>
          <w:rFonts w:ascii="Arial" w:eastAsia="Arial" w:hAnsi="Arial" w:cs="Arial"/>
          <w:b/>
          <w:i/>
          <w:sz w:val="24"/>
          <w:szCs w:val="24"/>
        </w:rPr>
      </w:pPr>
      <w:r>
        <w:rPr>
          <w:rFonts w:ascii="Arial" w:eastAsia="Arial" w:hAnsi="Arial" w:cs="Arial"/>
          <w:b/>
          <w:i/>
          <w:sz w:val="24"/>
          <w:szCs w:val="24"/>
        </w:rPr>
        <w:t xml:space="preserve">Assessment of Tender </w:t>
      </w:r>
    </w:p>
    <w:p w14:paraId="62944E8F" w14:textId="77777777" w:rsidR="003A222D" w:rsidRDefault="003A222D" w:rsidP="003A222D">
      <w:pPr>
        <w:rPr>
          <w:rFonts w:ascii="Arial" w:eastAsia="Arial" w:hAnsi="Arial" w:cs="Arial"/>
          <w:sz w:val="24"/>
          <w:szCs w:val="24"/>
        </w:rPr>
      </w:pPr>
      <w:r>
        <w:rPr>
          <w:rFonts w:ascii="Arial" w:eastAsia="Arial" w:hAnsi="Arial" w:cs="Arial"/>
          <w:sz w:val="24"/>
          <w:szCs w:val="24"/>
        </w:rPr>
        <w:t>Each tender received will be assessed on the basis of:</w:t>
      </w:r>
    </w:p>
    <w:p w14:paraId="6E96B038" w14:textId="7BC19AE8" w:rsidR="003A222D" w:rsidRDefault="003A222D" w:rsidP="003A222D">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Demonstrated knowledge and understanding of the brief</w:t>
      </w:r>
      <w:r w:rsidR="0010103C">
        <w:rPr>
          <w:rFonts w:ascii="Arial" w:eastAsia="Arial" w:hAnsi="Arial" w:cs="Arial"/>
          <w:color w:val="000000"/>
          <w:sz w:val="24"/>
          <w:szCs w:val="24"/>
        </w:rPr>
        <w:t xml:space="preserve"> 10%</w:t>
      </w:r>
    </w:p>
    <w:p w14:paraId="25F3403E" w14:textId="0C83F15D" w:rsidR="003A222D" w:rsidRDefault="0010103C" w:rsidP="003A222D">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Previous relevant experience 40%</w:t>
      </w:r>
    </w:p>
    <w:p w14:paraId="6A1CBE69" w14:textId="7C127801" w:rsidR="0010103C" w:rsidRDefault="0010103C" w:rsidP="003A222D">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Proposed outline of research and methodology with timelines 40%</w:t>
      </w:r>
    </w:p>
    <w:p w14:paraId="76426BBC" w14:textId="00D1C02C" w:rsidR="003A222D" w:rsidRDefault="003A222D" w:rsidP="003A222D">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Price</w:t>
      </w:r>
      <w:r w:rsidR="0010103C">
        <w:rPr>
          <w:rFonts w:ascii="Arial" w:eastAsia="Arial" w:hAnsi="Arial" w:cs="Arial"/>
          <w:color w:val="000000"/>
          <w:sz w:val="24"/>
          <w:szCs w:val="24"/>
        </w:rPr>
        <w:t xml:space="preserve"> 10% </w:t>
      </w:r>
    </w:p>
    <w:p w14:paraId="5F4FAAD3" w14:textId="690E1E9F" w:rsidR="003A222D" w:rsidRPr="00260385" w:rsidRDefault="003A222D" w:rsidP="00260385">
      <w:pPr>
        <w:pStyle w:val="CommentText"/>
      </w:pPr>
    </w:p>
    <w:p w14:paraId="0E5940CA" w14:textId="70E861B9" w:rsidR="003A222D" w:rsidRDefault="003A222D" w:rsidP="003A222D">
      <w:pPr>
        <w:rPr>
          <w:rFonts w:ascii="Arial" w:eastAsia="Arial" w:hAnsi="Arial" w:cs="Arial"/>
          <w:sz w:val="24"/>
          <w:szCs w:val="24"/>
        </w:rPr>
      </w:pPr>
      <w:r>
        <w:rPr>
          <w:rFonts w:ascii="Arial" w:eastAsia="Arial" w:hAnsi="Arial" w:cs="Arial"/>
          <w:b/>
          <w:sz w:val="24"/>
          <w:szCs w:val="24"/>
        </w:rPr>
        <w:t xml:space="preserve">To note: </w:t>
      </w:r>
      <w:r>
        <w:rPr>
          <w:rFonts w:ascii="Arial" w:eastAsia="Arial" w:hAnsi="Arial" w:cs="Arial"/>
          <w:sz w:val="24"/>
          <w:szCs w:val="24"/>
        </w:rPr>
        <w:t xml:space="preserve">Additional information may be sought at the assessment phase. Before awarding the evaluation, a short listed number of the most competitive tenders may be invited for further discussions/interview on their proposals. </w:t>
      </w:r>
    </w:p>
    <w:p w14:paraId="1DF9EA59" w14:textId="00A5ED26" w:rsidR="00C90D13" w:rsidRPr="00C90D13" w:rsidRDefault="00C90D13" w:rsidP="00C90D13">
      <w:pPr>
        <w:rPr>
          <w:rFonts w:ascii="Arial" w:eastAsia="Arial" w:hAnsi="Arial" w:cs="Arial"/>
          <w:sz w:val="24"/>
          <w:szCs w:val="24"/>
        </w:rPr>
      </w:pPr>
      <w:r w:rsidRPr="00C90D13">
        <w:rPr>
          <w:rFonts w:ascii="Arial" w:eastAsia="Arial" w:hAnsi="Arial" w:cs="Arial"/>
          <w:sz w:val="24"/>
          <w:szCs w:val="24"/>
        </w:rPr>
        <w:t>MHR shall not be liable for any costs and/or expenses incurred in respect of the preparation of the submission of any tender documents or associated material.</w:t>
      </w:r>
    </w:p>
    <w:p w14:paraId="432F3E9F" w14:textId="77777777" w:rsidR="003A222D" w:rsidRDefault="003A222D" w:rsidP="003A222D">
      <w:pPr>
        <w:rPr>
          <w:rFonts w:ascii="Arial" w:eastAsia="Arial" w:hAnsi="Arial" w:cs="Arial"/>
          <w:sz w:val="24"/>
          <w:szCs w:val="24"/>
        </w:rPr>
      </w:pPr>
      <w:r>
        <w:rPr>
          <w:rFonts w:ascii="Arial" w:eastAsia="Arial" w:hAnsi="Arial" w:cs="Arial"/>
          <w:sz w:val="24"/>
          <w:szCs w:val="24"/>
        </w:rPr>
        <w:t>The timeline for projects is indicative.</w:t>
      </w:r>
    </w:p>
    <w:p w14:paraId="06822119" w14:textId="77777777" w:rsidR="003A222D" w:rsidRDefault="003A222D" w:rsidP="003A222D">
      <w:pPr>
        <w:rPr>
          <w:rFonts w:ascii="Arial" w:eastAsia="Arial" w:hAnsi="Arial" w:cs="Arial"/>
          <w:sz w:val="24"/>
          <w:szCs w:val="24"/>
        </w:rPr>
      </w:pPr>
      <w:r>
        <w:rPr>
          <w:rFonts w:ascii="Arial" w:eastAsia="Arial" w:hAnsi="Arial" w:cs="Arial"/>
          <w:sz w:val="24"/>
          <w:szCs w:val="24"/>
        </w:rPr>
        <w:t>Further detailed information on the projects may be sought from MHR in advance of submission of tender.</w:t>
      </w:r>
    </w:p>
    <w:p w14:paraId="2E1D97CC" w14:textId="595DC493" w:rsidR="003A222D" w:rsidRDefault="003A222D" w:rsidP="003A222D">
      <w:pPr>
        <w:rPr>
          <w:rFonts w:ascii="Arial" w:eastAsia="Arial" w:hAnsi="Arial" w:cs="Arial"/>
          <w:sz w:val="24"/>
          <w:szCs w:val="24"/>
        </w:rPr>
      </w:pPr>
      <w:r>
        <w:rPr>
          <w:rFonts w:ascii="Arial" w:eastAsia="Arial" w:hAnsi="Arial" w:cs="Arial"/>
          <w:sz w:val="24"/>
          <w:szCs w:val="24"/>
        </w:rPr>
        <w:t xml:space="preserve">Tenders should be submitted by e-mail to </w:t>
      </w:r>
      <w:hyperlink r:id="rId11" w:history="1">
        <w:r w:rsidR="009007CD" w:rsidRPr="00924DF9">
          <w:rPr>
            <w:rStyle w:val="Hyperlink"/>
            <w:rFonts w:ascii="Arial" w:eastAsia="Arial" w:hAnsi="Arial" w:cs="Arial"/>
            <w:sz w:val="24"/>
            <w:szCs w:val="24"/>
          </w:rPr>
          <w:t>pofeich@mentalhealthreform.ie</w:t>
        </w:r>
      </w:hyperlink>
      <w:r>
        <w:rPr>
          <w:rFonts w:ascii="Arial" w:eastAsia="Arial" w:hAnsi="Arial" w:cs="Arial"/>
          <w:sz w:val="24"/>
          <w:szCs w:val="24"/>
        </w:rPr>
        <w:t xml:space="preserve">  </w:t>
      </w:r>
    </w:p>
    <w:p w14:paraId="40552B86" w14:textId="77777777" w:rsidR="003A222D" w:rsidRDefault="003A222D" w:rsidP="003A222D">
      <w:pPr>
        <w:rPr>
          <w:rFonts w:ascii="Arial" w:eastAsia="Arial" w:hAnsi="Arial" w:cs="Arial"/>
          <w:sz w:val="24"/>
          <w:szCs w:val="24"/>
        </w:rPr>
      </w:pPr>
    </w:p>
    <w:p w14:paraId="1E739949" w14:textId="3FED48FC" w:rsidR="003A222D" w:rsidRDefault="003A222D" w:rsidP="003A222D">
      <w:pPr>
        <w:rPr>
          <w:rFonts w:ascii="Arial" w:eastAsia="Arial" w:hAnsi="Arial" w:cs="Arial"/>
          <w:sz w:val="24"/>
          <w:szCs w:val="24"/>
        </w:rPr>
      </w:pPr>
      <w:r w:rsidRPr="000F26F3">
        <w:rPr>
          <w:rFonts w:ascii="Arial" w:eastAsia="Arial" w:hAnsi="Arial" w:cs="Arial"/>
          <w:b/>
          <w:sz w:val="24"/>
          <w:szCs w:val="24"/>
        </w:rPr>
        <w:t>CLOSING DATE:</w:t>
      </w:r>
      <w:r w:rsidRPr="000F26F3">
        <w:rPr>
          <w:rFonts w:ascii="Arial" w:eastAsia="Arial" w:hAnsi="Arial" w:cs="Arial"/>
          <w:sz w:val="24"/>
          <w:szCs w:val="24"/>
        </w:rPr>
        <w:t xml:space="preserve"> </w:t>
      </w:r>
      <w:r w:rsidR="00CB104C">
        <w:rPr>
          <w:rFonts w:ascii="Arial" w:eastAsia="Arial" w:hAnsi="Arial" w:cs="Arial"/>
          <w:sz w:val="24"/>
          <w:szCs w:val="24"/>
        </w:rPr>
        <w:t>5</w:t>
      </w:r>
      <w:r>
        <w:rPr>
          <w:rFonts w:ascii="Arial" w:eastAsia="Arial" w:hAnsi="Arial" w:cs="Arial"/>
          <w:sz w:val="24"/>
          <w:szCs w:val="24"/>
        </w:rPr>
        <w:t xml:space="preserve">pm </w:t>
      </w:r>
      <w:r w:rsidR="002A615F">
        <w:rPr>
          <w:rFonts w:ascii="Arial" w:eastAsia="Arial" w:hAnsi="Arial" w:cs="Arial"/>
          <w:sz w:val="24"/>
          <w:szCs w:val="24"/>
        </w:rPr>
        <w:t>on Monday the 8th</w:t>
      </w:r>
      <w:bookmarkStart w:id="1" w:name="_GoBack"/>
      <w:bookmarkEnd w:id="1"/>
      <w:r w:rsidR="00CB104C">
        <w:rPr>
          <w:rFonts w:ascii="Arial" w:eastAsia="Arial" w:hAnsi="Arial" w:cs="Arial"/>
          <w:sz w:val="24"/>
          <w:szCs w:val="24"/>
        </w:rPr>
        <w:t xml:space="preserve"> of March, 2021</w:t>
      </w:r>
      <w:r>
        <w:rPr>
          <w:rFonts w:ascii="Arial" w:eastAsia="Arial" w:hAnsi="Arial" w:cs="Arial"/>
          <w:sz w:val="24"/>
          <w:szCs w:val="24"/>
        </w:rPr>
        <w:t>.</w:t>
      </w:r>
    </w:p>
    <w:p w14:paraId="53CC44AF" w14:textId="77777777" w:rsidR="00B34EAA" w:rsidRDefault="00B34EAA"/>
    <w:sectPr w:rsidR="00B34EAA">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31A" w16cex:dateUtc="2021-02-22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B473C" w16cid:durableId="23DE43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497B4" w14:textId="77777777" w:rsidR="000053D2" w:rsidRDefault="000053D2" w:rsidP="003A222D">
      <w:pPr>
        <w:spacing w:after="0" w:line="240" w:lineRule="auto"/>
      </w:pPr>
      <w:r>
        <w:separator/>
      </w:r>
    </w:p>
  </w:endnote>
  <w:endnote w:type="continuationSeparator" w:id="0">
    <w:p w14:paraId="72B90CED" w14:textId="77777777" w:rsidR="000053D2" w:rsidRDefault="000053D2" w:rsidP="003A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AC60" w14:textId="77777777" w:rsidR="000053D2" w:rsidRDefault="000053D2" w:rsidP="003A222D">
      <w:pPr>
        <w:spacing w:after="0" w:line="240" w:lineRule="auto"/>
      </w:pPr>
      <w:r>
        <w:separator/>
      </w:r>
    </w:p>
  </w:footnote>
  <w:footnote w:type="continuationSeparator" w:id="0">
    <w:p w14:paraId="3826B7F3" w14:textId="77777777" w:rsidR="000053D2" w:rsidRDefault="000053D2" w:rsidP="003A222D">
      <w:pPr>
        <w:spacing w:after="0" w:line="240" w:lineRule="auto"/>
      </w:pPr>
      <w:r>
        <w:continuationSeparator/>
      </w:r>
    </w:p>
  </w:footnote>
  <w:footnote w:id="1">
    <w:p w14:paraId="7CA13D3C" w14:textId="77777777" w:rsidR="003A222D" w:rsidRDefault="003A222D" w:rsidP="003A22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Department of Health and Children (2006). </w:t>
      </w:r>
      <w:r>
        <w:rPr>
          <w:i/>
          <w:color w:val="000000"/>
          <w:sz w:val="20"/>
          <w:szCs w:val="20"/>
        </w:rPr>
        <w:t>A Vision for Change: Report of the Expert Group on Mental Health Policy</w:t>
      </w:r>
      <w:r>
        <w:rPr>
          <w:color w:val="000000"/>
          <w:sz w:val="20"/>
          <w:szCs w:val="20"/>
        </w:rPr>
        <w:t>. Dublin: The Stationery Office, p.41.</w:t>
      </w:r>
    </w:p>
  </w:footnote>
  <w:footnote w:id="2">
    <w:p w14:paraId="50B71BE9" w14:textId="77777777" w:rsidR="003A222D" w:rsidRDefault="003A222D" w:rsidP="003A222D">
      <w:pPr>
        <w:pStyle w:val="FootnoteText"/>
      </w:pPr>
      <w:r>
        <w:rPr>
          <w:rStyle w:val="FootnoteReference"/>
        </w:rPr>
        <w:footnoteRef/>
      </w:r>
      <w:r>
        <w:t xml:space="preserve"> Department of Health and Children (2020). Sharing the Vision</w:t>
      </w:r>
    </w:p>
  </w:footnote>
  <w:footnote w:id="3">
    <w:p w14:paraId="1BB68FE4" w14:textId="77777777" w:rsidR="003A222D" w:rsidRDefault="003A222D" w:rsidP="003A22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Mental Health Reform (2014). </w:t>
      </w:r>
      <w:r>
        <w:rPr>
          <w:i/>
          <w:color w:val="000000"/>
          <w:sz w:val="20"/>
          <w:szCs w:val="20"/>
        </w:rPr>
        <w:t xml:space="preserve">Ethnic Minorities and Mental Health: A position paper. </w:t>
      </w:r>
      <w:r>
        <w:rPr>
          <w:color w:val="000000"/>
          <w:sz w:val="20"/>
          <w:szCs w:val="20"/>
        </w:rPr>
        <w:t>Dublin: MHR.</w:t>
      </w:r>
    </w:p>
  </w:footnote>
  <w:footnote w:id="4">
    <w:p w14:paraId="45BAD3ED" w14:textId="77777777" w:rsidR="003A222D" w:rsidRDefault="003A222D" w:rsidP="003A222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Mental Health Reform (2016). </w:t>
      </w:r>
      <w:r>
        <w:rPr>
          <w:i/>
          <w:color w:val="000000"/>
          <w:sz w:val="20"/>
          <w:szCs w:val="20"/>
        </w:rPr>
        <w:t xml:space="preserve">Ethnic Minorities in Mental Health: guidelines for mental health services and staff on working with people from ethnic minority communities. </w:t>
      </w:r>
      <w:r>
        <w:rPr>
          <w:color w:val="000000"/>
          <w:sz w:val="20"/>
          <w:szCs w:val="20"/>
        </w:rPr>
        <w:t>Dublin: MHR.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48AE"/>
    <w:multiLevelType w:val="multilevel"/>
    <w:tmpl w:val="1F28B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F443DA"/>
    <w:multiLevelType w:val="multilevel"/>
    <w:tmpl w:val="8702C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0430DE"/>
    <w:multiLevelType w:val="multilevel"/>
    <w:tmpl w:val="D7C89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A05177"/>
    <w:multiLevelType w:val="hybridMultilevel"/>
    <w:tmpl w:val="14960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2D"/>
    <w:rsid w:val="000053D2"/>
    <w:rsid w:val="00025719"/>
    <w:rsid w:val="00040999"/>
    <w:rsid w:val="0010103C"/>
    <w:rsid w:val="0016457D"/>
    <w:rsid w:val="00260385"/>
    <w:rsid w:val="002A615F"/>
    <w:rsid w:val="003A222D"/>
    <w:rsid w:val="003D63F6"/>
    <w:rsid w:val="00445BFD"/>
    <w:rsid w:val="004E1858"/>
    <w:rsid w:val="00627DA0"/>
    <w:rsid w:val="006E5E04"/>
    <w:rsid w:val="006F5EED"/>
    <w:rsid w:val="007B041E"/>
    <w:rsid w:val="009007CD"/>
    <w:rsid w:val="00AB614E"/>
    <w:rsid w:val="00AC471B"/>
    <w:rsid w:val="00AF6621"/>
    <w:rsid w:val="00B1387F"/>
    <w:rsid w:val="00B34EAA"/>
    <w:rsid w:val="00C26EFC"/>
    <w:rsid w:val="00C773C0"/>
    <w:rsid w:val="00C90D13"/>
    <w:rsid w:val="00CA07C6"/>
    <w:rsid w:val="00CB104C"/>
    <w:rsid w:val="00DE1554"/>
    <w:rsid w:val="00E92A33"/>
    <w:rsid w:val="00F74C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3938"/>
  <w15:chartTrackingRefBased/>
  <w15:docId w15:val="{6CA9FC29-B9D4-4304-AC7F-AA16908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2D"/>
    <w:rPr>
      <w:rFonts w:ascii="Calibri" w:eastAsia="Calibri" w:hAnsi="Calibri" w:cs="Calibri"/>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22D"/>
    <w:rPr>
      <w:rFonts w:ascii="Calibri" w:eastAsia="Calibri" w:hAnsi="Calibri" w:cs="Calibri"/>
      <w:sz w:val="20"/>
      <w:szCs w:val="20"/>
      <w:lang w:val="en-GB" w:eastAsia="en-IE"/>
    </w:rPr>
  </w:style>
  <w:style w:type="character" w:styleId="FootnoteReference">
    <w:name w:val="footnote reference"/>
    <w:basedOn w:val="DefaultParagraphFont"/>
    <w:uiPriority w:val="99"/>
    <w:semiHidden/>
    <w:unhideWhenUsed/>
    <w:rsid w:val="003A222D"/>
    <w:rPr>
      <w:vertAlign w:val="superscript"/>
    </w:rPr>
  </w:style>
  <w:style w:type="paragraph" w:styleId="ListParagraph">
    <w:name w:val="List Paragraph"/>
    <w:basedOn w:val="Normal"/>
    <w:uiPriority w:val="34"/>
    <w:qFormat/>
    <w:rsid w:val="003A222D"/>
    <w:pPr>
      <w:ind w:left="720"/>
      <w:contextualSpacing/>
    </w:pPr>
  </w:style>
  <w:style w:type="character" w:styleId="CommentReference">
    <w:name w:val="annotation reference"/>
    <w:basedOn w:val="DefaultParagraphFont"/>
    <w:uiPriority w:val="99"/>
    <w:semiHidden/>
    <w:unhideWhenUsed/>
    <w:rsid w:val="003A222D"/>
    <w:rPr>
      <w:sz w:val="16"/>
      <w:szCs w:val="16"/>
    </w:rPr>
  </w:style>
  <w:style w:type="paragraph" w:styleId="CommentText">
    <w:name w:val="annotation text"/>
    <w:basedOn w:val="Normal"/>
    <w:link w:val="CommentTextChar"/>
    <w:uiPriority w:val="99"/>
    <w:unhideWhenUsed/>
    <w:rsid w:val="003A222D"/>
    <w:pPr>
      <w:spacing w:line="240" w:lineRule="auto"/>
    </w:pPr>
    <w:rPr>
      <w:sz w:val="20"/>
      <w:szCs w:val="20"/>
    </w:rPr>
  </w:style>
  <w:style w:type="character" w:customStyle="1" w:styleId="CommentTextChar">
    <w:name w:val="Comment Text Char"/>
    <w:basedOn w:val="DefaultParagraphFont"/>
    <w:link w:val="CommentText"/>
    <w:uiPriority w:val="99"/>
    <w:rsid w:val="003A222D"/>
    <w:rPr>
      <w:rFonts w:ascii="Calibri" w:eastAsia="Calibri" w:hAnsi="Calibri" w:cs="Calibri"/>
      <w:sz w:val="20"/>
      <w:szCs w:val="20"/>
      <w:lang w:val="en-GB" w:eastAsia="en-IE"/>
    </w:rPr>
  </w:style>
  <w:style w:type="paragraph" w:styleId="Revision">
    <w:name w:val="Revision"/>
    <w:hidden/>
    <w:uiPriority w:val="99"/>
    <w:semiHidden/>
    <w:rsid w:val="003A222D"/>
    <w:pPr>
      <w:spacing w:after="0" w:line="240" w:lineRule="auto"/>
    </w:pPr>
    <w:rPr>
      <w:rFonts w:ascii="Calibri" w:eastAsia="Calibri" w:hAnsi="Calibri" w:cs="Calibri"/>
      <w:lang w:val="en-GB" w:eastAsia="en-IE"/>
    </w:rPr>
  </w:style>
  <w:style w:type="paragraph" w:styleId="BalloonText">
    <w:name w:val="Balloon Text"/>
    <w:basedOn w:val="Normal"/>
    <w:link w:val="BalloonTextChar"/>
    <w:uiPriority w:val="99"/>
    <w:semiHidden/>
    <w:unhideWhenUsed/>
    <w:rsid w:val="00445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FD"/>
    <w:rPr>
      <w:rFonts w:ascii="Segoe UI" w:eastAsia="Calibri" w:hAnsi="Segoe UI" w:cs="Segoe UI"/>
      <w:sz w:val="18"/>
      <w:szCs w:val="18"/>
      <w:lang w:val="en-GB" w:eastAsia="en-IE"/>
    </w:rPr>
  </w:style>
  <w:style w:type="paragraph" w:styleId="CommentSubject">
    <w:name w:val="annotation subject"/>
    <w:basedOn w:val="CommentText"/>
    <w:next w:val="CommentText"/>
    <w:link w:val="CommentSubjectChar"/>
    <w:uiPriority w:val="99"/>
    <w:semiHidden/>
    <w:unhideWhenUsed/>
    <w:rsid w:val="00445BFD"/>
    <w:rPr>
      <w:b/>
      <w:bCs/>
    </w:rPr>
  </w:style>
  <w:style w:type="character" w:customStyle="1" w:styleId="CommentSubjectChar">
    <w:name w:val="Comment Subject Char"/>
    <w:basedOn w:val="CommentTextChar"/>
    <w:link w:val="CommentSubject"/>
    <w:uiPriority w:val="99"/>
    <w:semiHidden/>
    <w:rsid w:val="00445BFD"/>
    <w:rPr>
      <w:rFonts w:ascii="Calibri" w:eastAsia="Calibri" w:hAnsi="Calibri" w:cs="Calibri"/>
      <w:b/>
      <w:bCs/>
      <w:sz w:val="20"/>
      <w:szCs w:val="20"/>
      <w:lang w:val="en-GB" w:eastAsia="en-IE"/>
    </w:rPr>
  </w:style>
  <w:style w:type="character" w:styleId="Hyperlink">
    <w:name w:val="Hyperlink"/>
    <w:basedOn w:val="DefaultParagraphFont"/>
    <w:uiPriority w:val="99"/>
    <w:unhideWhenUsed/>
    <w:rsid w:val="00040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feich@mentalhealthreform.i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CE34-212A-4D5D-BFE2-A4FEC086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Deane</dc:creator>
  <cp:keywords/>
  <dc:description/>
  <cp:lastModifiedBy>Mental Health Reform Ireland</cp:lastModifiedBy>
  <cp:revision>4</cp:revision>
  <cp:lastPrinted>2021-02-04T10:33:00Z</cp:lastPrinted>
  <dcterms:created xsi:type="dcterms:W3CDTF">2021-02-22T15:10:00Z</dcterms:created>
  <dcterms:modified xsi:type="dcterms:W3CDTF">2021-03-02T11:14:00Z</dcterms:modified>
</cp:coreProperties>
</file>